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076A1" w14:textId="77777777" w:rsidR="00191BC1" w:rsidRPr="00BC5A29" w:rsidRDefault="00191BC1">
      <w:pPr>
        <w:spacing w:after="0" w:line="240" w:lineRule="auto"/>
        <w:rPr>
          <w:rFonts w:ascii="Times New Roman" w:hAnsi="Times New Roman"/>
          <w:b/>
          <w:bCs/>
          <w:color w:val="000000" w:themeColor="text1"/>
          <w:u w:val="single"/>
        </w:rPr>
      </w:pPr>
    </w:p>
    <w:p w14:paraId="64A406DB" w14:textId="77777777" w:rsidR="00191BC1" w:rsidRPr="00BC5A29" w:rsidRDefault="00191BC1">
      <w:pPr>
        <w:spacing w:after="0" w:line="240" w:lineRule="auto"/>
        <w:rPr>
          <w:rFonts w:ascii="Times New Roman" w:hAnsi="Times New Roman"/>
          <w:b/>
          <w:bCs/>
          <w:color w:val="000000" w:themeColor="text1"/>
          <w:u w:val="single"/>
        </w:rPr>
      </w:pPr>
    </w:p>
    <w:p w14:paraId="03A7EFE1" w14:textId="77777777" w:rsidR="00191BC1" w:rsidRPr="00BC5A29" w:rsidRDefault="00F33836">
      <w:pPr>
        <w:spacing w:after="0" w:line="240" w:lineRule="auto"/>
        <w:rPr>
          <w:rFonts w:ascii="Times New Roman" w:hAnsi="Times New Roman"/>
          <w:b/>
          <w:bCs/>
          <w:color w:val="000000" w:themeColor="text1"/>
        </w:rPr>
      </w:pPr>
      <w:r w:rsidRPr="00BC5A29">
        <w:rPr>
          <w:rFonts w:ascii="Times New Roman" w:hAnsi="Times New Roman"/>
          <w:b/>
          <w:bCs/>
          <w:color w:val="000000" w:themeColor="text1"/>
        </w:rPr>
        <w:t>Seletuskiri eelnõule „Maamaksumäärade, maamaksutõusu piirmäära ja maksusoodustuse kehtestamine“</w:t>
      </w:r>
    </w:p>
    <w:p w14:paraId="5CAA48ED" w14:textId="77777777" w:rsidR="00191BC1" w:rsidRPr="00BC5A29" w:rsidRDefault="00191BC1">
      <w:pPr>
        <w:spacing w:after="0" w:line="240" w:lineRule="auto"/>
        <w:rPr>
          <w:rFonts w:ascii="Times New Roman" w:hAnsi="Times New Roman"/>
          <w:color w:val="000000" w:themeColor="text1"/>
        </w:rPr>
      </w:pPr>
    </w:p>
    <w:p w14:paraId="0BBCA32A" w14:textId="77777777" w:rsidR="00191BC1" w:rsidRPr="00BC5A29" w:rsidRDefault="00F33836">
      <w:pPr>
        <w:spacing w:after="0" w:line="240" w:lineRule="auto"/>
        <w:rPr>
          <w:rFonts w:ascii="Times New Roman" w:hAnsi="Times New Roman"/>
          <w:color w:val="000000" w:themeColor="text1"/>
        </w:rPr>
      </w:pPr>
      <w:r w:rsidRPr="00BC5A29">
        <w:rPr>
          <w:rFonts w:ascii="Times New Roman" w:hAnsi="Times New Roman"/>
          <w:color w:val="000000" w:themeColor="text1"/>
        </w:rPr>
        <w:t xml:space="preserve">Ettepanek on kehtestada maamaksumäärad järgmiselt: </w:t>
      </w:r>
    </w:p>
    <w:p w14:paraId="5ECC276C" w14:textId="77777777" w:rsidR="00191BC1" w:rsidRPr="00BC5A29" w:rsidRDefault="00F33836">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1)</w:t>
      </w:r>
      <w:r w:rsidRPr="00BC5A29">
        <w:rPr>
          <w:rFonts w:ascii="Times New Roman" w:hAnsi="Times New Roman"/>
          <w:color w:val="000000" w:themeColor="text1"/>
        </w:rPr>
        <w:tab/>
        <w:t>elamumaale ja maatulundusmaa õuemaa kõlvikule 0,50 protsenti maa maksustamishinnast aastas;</w:t>
      </w:r>
    </w:p>
    <w:p w14:paraId="591137AB" w14:textId="77777777" w:rsidR="00191BC1" w:rsidRPr="00BC5A29" w:rsidRDefault="00F33836">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2)</w:t>
      </w:r>
      <w:r w:rsidRPr="00BC5A29">
        <w:rPr>
          <w:rFonts w:ascii="Times New Roman" w:hAnsi="Times New Roman"/>
          <w:color w:val="000000" w:themeColor="text1"/>
        </w:rPr>
        <w:tab/>
        <w:t>punktis 1 nimetamata maatulundusmaale 0,50 protsenti maa maksustamishinnast aastas;</w:t>
      </w:r>
    </w:p>
    <w:p w14:paraId="0491885F" w14:textId="77777777" w:rsidR="00191BC1" w:rsidRPr="00BC5A29" w:rsidRDefault="00F33836">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3)</w:t>
      </w:r>
      <w:r w:rsidRPr="00BC5A29">
        <w:rPr>
          <w:rFonts w:ascii="Times New Roman" w:hAnsi="Times New Roman"/>
          <w:color w:val="000000" w:themeColor="text1"/>
        </w:rPr>
        <w:tab/>
        <w:t>punktides 1 ja 2 nimetamata sihtotstarbega maale 1,00 protsenti maa maksustamishinnast aastas.</w:t>
      </w:r>
    </w:p>
    <w:p w14:paraId="5E29518B" w14:textId="77777777" w:rsidR="00191BC1" w:rsidRPr="00BC5A29" w:rsidRDefault="00191BC1">
      <w:pPr>
        <w:spacing w:after="0" w:line="240" w:lineRule="auto"/>
        <w:rPr>
          <w:rFonts w:ascii="Times New Roman" w:hAnsi="Times New Roman"/>
          <w:color w:val="000000" w:themeColor="text1"/>
        </w:rPr>
      </w:pPr>
    </w:p>
    <w:p w14:paraId="722A21B4" w14:textId="77777777" w:rsidR="00191BC1" w:rsidRPr="00BC5A29" w:rsidRDefault="00F33836">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Maksumäärad on planeeritud jätta samaks 2026. aasta määradega. 2027. aastal ei ole planeeritud maksumäära suurendamist.</w:t>
      </w:r>
    </w:p>
    <w:p w14:paraId="555BD8EC" w14:textId="77777777" w:rsidR="00191BC1" w:rsidRPr="00BC5A29" w:rsidRDefault="00191BC1">
      <w:pPr>
        <w:spacing w:after="0" w:line="240" w:lineRule="auto"/>
        <w:jc w:val="both"/>
        <w:rPr>
          <w:rFonts w:ascii="Times New Roman" w:hAnsi="Times New Roman"/>
          <w:color w:val="000000" w:themeColor="text1"/>
        </w:rPr>
      </w:pPr>
    </w:p>
    <w:p w14:paraId="4250D8EE" w14:textId="77777777" w:rsidR="00754F36" w:rsidRDefault="00754F36">
      <w:pPr>
        <w:spacing w:after="0" w:line="240" w:lineRule="auto"/>
        <w:jc w:val="both"/>
        <w:rPr>
          <w:rFonts w:ascii="Times New Roman" w:hAnsi="Times New Roman"/>
          <w:color w:val="000000" w:themeColor="text1"/>
        </w:rPr>
      </w:pPr>
      <w:r w:rsidRPr="00754F36">
        <w:rPr>
          <w:rFonts w:ascii="Times New Roman" w:hAnsi="Times New Roman"/>
          <w:color w:val="000000" w:themeColor="text1"/>
        </w:rPr>
        <w:t>Maamaksu võimalikku järsku suurenemist on seni leevendatud maamaksu aastase kasvu piirmääraga. Ettepanek on säilitada 2027. aastal piirmäär senisel 50 protsendi tasemel. 2022. aasta korralise hindamise tulemusi kasutatakse maamaksu määramisel alates 2024. aastast ning 2027. aastal rakendub piirmäär neljandat aastat. Senise piirmäära säilitamine kaitseb maaomanikke järsu maksutõusu eest, kuid võimaldab samal ajal arvestada maamaksu määramisel maa kehtivat maksustamishinda. Nii säilib tasakaal maksukoormuse leevendamise ja maa maksustamishinna arvestamise vahel.</w:t>
      </w:r>
    </w:p>
    <w:p w14:paraId="156208C1" w14:textId="77777777" w:rsidR="00754F36" w:rsidRDefault="00754F36">
      <w:pPr>
        <w:spacing w:after="0" w:line="240" w:lineRule="auto"/>
        <w:jc w:val="both"/>
        <w:rPr>
          <w:rFonts w:ascii="Times New Roman" w:hAnsi="Times New Roman"/>
          <w:color w:val="000000" w:themeColor="text1"/>
        </w:rPr>
      </w:pPr>
    </w:p>
    <w:p w14:paraId="0D22262B" w14:textId="329EE91F" w:rsidR="00191BC1" w:rsidRPr="00BC5A29" w:rsidRDefault="00F33836">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Elamumaa ja maatulundusmaa õuemaa osas on võimalik kohalikul omavalitsusel kehtestada kodualuse maa maksusoodustus kuni 1000 eurot. Planeeritud on suurendada kodualuse maa maksusoodustust 400%, ehk 400 euroni, et soodustada Raasiku vallas eluasemekohta omavate isikute maksukoormuse vähenemist maamaksu vähenemise kaudu. Nimetatud soodustus kehtib ainult siis, kui sellel maal asuvas hoones on maa omaniku või kasutaja elukoht rahvastikuregistrisse kantud elukoha andmete järgi.</w:t>
      </w:r>
    </w:p>
    <w:p w14:paraId="721EF2DF" w14:textId="77777777" w:rsidR="00191BC1" w:rsidRPr="00BC5A29" w:rsidRDefault="00191BC1">
      <w:pPr>
        <w:spacing w:after="0" w:line="240" w:lineRule="auto"/>
        <w:jc w:val="both"/>
        <w:rPr>
          <w:rFonts w:ascii="Times New Roman" w:hAnsi="Times New Roman"/>
          <w:color w:val="000000" w:themeColor="text1"/>
        </w:rPr>
      </w:pPr>
    </w:p>
    <w:p w14:paraId="49B1B655" w14:textId="2ECCCA6C" w:rsidR="002E1DF2" w:rsidRPr="00BC5A29" w:rsidRDefault="002E1DF2" w:rsidP="002E1DF2">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Maamaksu puhul on oluline mõista, et se</w:t>
      </w:r>
      <w:r w:rsidR="0063632C" w:rsidRPr="00BC5A29">
        <w:rPr>
          <w:rFonts w:ascii="Times New Roman" w:hAnsi="Times New Roman"/>
          <w:color w:val="000000" w:themeColor="text1"/>
        </w:rPr>
        <w:t xml:space="preserve">e lähtub otseselt kinnistu </w:t>
      </w:r>
      <w:r w:rsidRPr="00BC5A29">
        <w:rPr>
          <w:rFonts w:ascii="Times New Roman" w:hAnsi="Times New Roman"/>
          <w:color w:val="000000" w:themeColor="text1"/>
        </w:rPr>
        <w:t>maksustamishin</w:t>
      </w:r>
      <w:r w:rsidR="0063632C" w:rsidRPr="00BC5A29">
        <w:rPr>
          <w:rFonts w:ascii="Times New Roman" w:hAnsi="Times New Roman"/>
          <w:color w:val="000000" w:themeColor="text1"/>
        </w:rPr>
        <w:t>nast</w:t>
      </w:r>
      <w:r w:rsidRPr="00BC5A29">
        <w:rPr>
          <w:rFonts w:ascii="Times New Roman" w:hAnsi="Times New Roman"/>
          <w:color w:val="000000" w:themeColor="text1"/>
        </w:rPr>
        <w:t>, mis arvutatakse ühtse hindamismudeli alusel. Mudel arvestab kogu Eestis samadel põhimõtetel maa asukohta, pindala ja turuväärtust. Seos selle vahel, et parema taristu ja teenustega piirkondades ning alevikes paiknevad kinnistud on üldjuhul kõrgema väärtusega, on olemas, kuid igas alevikus ja alevikuga piirnevas külas leidub nii madalama kui ka kõrgema maksustamishinnaga kinnistuid. Näiteks võib ligikaudu 1200 m² suuruse kinnistu maksustamishind jääda vahemikku 14 000 kuni 62 000 eurot. Kuna hindamissüsteem muutus tsoonipõhiselt katastriüksuse põhiseks ning arvesse hakati võtma maa tegelikku turuväärtust, siis ei toimunud suurimad väärtuse tõusud mitte alevike keskustes, vaid pigem nende servaaladel ja alevikega vahetult piirnevates külades, kus arendus on viimastel aastatel olnud aktiivsem.</w:t>
      </w:r>
    </w:p>
    <w:p w14:paraId="2317C465" w14:textId="77777777" w:rsidR="002E1DF2" w:rsidRPr="00BC5A29" w:rsidRDefault="002E1DF2" w:rsidP="002E1DF2">
      <w:pPr>
        <w:spacing w:after="0" w:line="240" w:lineRule="auto"/>
        <w:jc w:val="both"/>
        <w:rPr>
          <w:rFonts w:ascii="Times New Roman" w:hAnsi="Times New Roman"/>
          <w:color w:val="000000" w:themeColor="text1"/>
        </w:rPr>
      </w:pPr>
    </w:p>
    <w:p w14:paraId="41ACBB29" w14:textId="4110A406" w:rsidR="002E1DF2" w:rsidRPr="00BC5A29" w:rsidRDefault="00B36C5B" w:rsidP="002E1DF2">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 xml:space="preserve">Soov on </w:t>
      </w:r>
      <w:r w:rsidR="002E1DF2" w:rsidRPr="00BC5A29">
        <w:rPr>
          <w:rFonts w:ascii="Times New Roman" w:hAnsi="Times New Roman"/>
          <w:color w:val="000000" w:themeColor="text1"/>
        </w:rPr>
        <w:t>hoida koduomanike maamaksukoormus võimalikult väike</w:t>
      </w:r>
      <w:r w:rsidR="00D53F8A" w:rsidRPr="00BC5A29">
        <w:rPr>
          <w:rFonts w:ascii="Times New Roman" w:hAnsi="Times New Roman"/>
          <w:color w:val="000000" w:themeColor="text1"/>
        </w:rPr>
        <w:t>. M</w:t>
      </w:r>
      <w:r w:rsidR="002E1DF2" w:rsidRPr="00BC5A29">
        <w:rPr>
          <w:rFonts w:ascii="Times New Roman" w:hAnsi="Times New Roman"/>
          <w:color w:val="000000" w:themeColor="text1"/>
        </w:rPr>
        <w:t>aamaksu andmete järgi on Raasiku vallas 2299 elamumaa või maatulundusmaa (õuemaa kõlviku</w:t>
      </w:r>
      <w:r w:rsidR="0063632C" w:rsidRPr="00BC5A29">
        <w:rPr>
          <w:rFonts w:ascii="Times New Roman" w:hAnsi="Times New Roman"/>
          <w:color w:val="000000" w:themeColor="text1"/>
        </w:rPr>
        <w:t>te osa</w:t>
      </w:r>
      <w:r w:rsidR="002E1DF2" w:rsidRPr="00BC5A29">
        <w:rPr>
          <w:rFonts w:ascii="Times New Roman" w:hAnsi="Times New Roman"/>
          <w:color w:val="000000" w:themeColor="text1"/>
        </w:rPr>
        <w:t xml:space="preserve">) sihtotstarbega kinnistut, millel asub eluhoone või millele on määratud eluhoone ehitusõigus. 2026. aasta augusti seisuga on neist 1265 kinnistul maksukohustuslasest omanik rahvastikuregistri järgi sisse kirjutatud ning seega on neil õigus koduomaniku maksusoodustusele. Nende hulgas on ka korteriomandeid ja kaasomandeid, kus soodustus ei </w:t>
      </w:r>
      <w:r w:rsidR="00F24F53" w:rsidRPr="00BC5A29">
        <w:rPr>
          <w:rFonts w:ascii="Times New Roman" w:hAnsi="Times New Roman"/>
          <w:color w:val="000000" w:themeColor="text1"/>
        </w:rPr>
        <w:t>rakendu nendele omanikele, kellel puudub sissekirjutus aadressile</w:t>
      </w:r>
      <w:r w:rsidR="002E1DF2" w:rsidRPr="00BC5A29">
        <w:rPr>
          <w:rFonts w:ascii="Times New Roman" w:hAnsi="Times New Roman"/>
          <w:color w:val="000000" w:themeColor="text1"/>
        </w:rPr>
        <w:t>.</w:t>
      </w:r>
      <w:r w:rsidR="00F24F53" w:rsidRPr="00BC5A29">
        <w:rPr>
          <w:rFonts w:ascii="Times New Roman" w:hAnsi="Times New Roman"/>
          <w:color w:val="000000" w:themeColor="text1"/>
        </w:rPr>
        <w:t xml:space="preserve"> </w:t>
      </w:r>
      <w:r w:rsidR="002E1DF2" w:rsidRPr="00BC5A29">
        <w:rPr>
          <w:rFonts w:ascii="Times New Roman" w:hAnsi="Times New Roman"/>
          <w:color w:val="000000" w:themeColor="text1"/>
        </w:rPr>
        <w:t>Ülejäänud 1034 kinnistul sissekirjutus puudub ning neist ligikaudu 400 puhul on tegemist maaüksustega, millel on üksnes ehitusõigus</w:t>
      </w:r>
      <w:r w:rsidR="00F24F53" w:rsidRPr="00BC5A29">
        <w:rPr>
          <w:rFonts w:ascii="Times New Roman" w:hAnsi="Times New Roman"/>
          <w:color w:val="000000" w:themeColor="text1"/>
        </w:rPr>
        <w:t xml:space="preserve">. </w:t>
      </w:r>
    </w:p>
    <w:p w14:paraId="33B14100" w14:textId="177CA734" w:rsidR="00094BC0" w:rsidRPr="00BC5A29" w:rsidRDefault="00094BC0" w:rsidP="002E1DF2">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 xml:space="preserve">Allpool toodud tabelis 1 on näha sihtotstarvete kaupa sh eraldi kodusoodustusega elamu ja õuemaa kohta võrdlus eelmise aasta maamaksuga. 2027. aasta maamaks on augusti kuu </w:t>
      </w:r>
      <w:r w:rsidRPr="00BC5A29">
        <w:rPr>
          <w:rFonts w:ascii="Times New Roman" w:hAnsi="Times New Roman"/>
          <w:color w:val="000000" w:themeColor="text1"/>
        </w:rPr>
        <w:lastRenderedPageBreak/>
        <w:t>sissekirjutuste alusel, kuid aasta lõpus võib number muutuda, kui sissekirjutuste arv on muutunud.</w:t>
      </w:r>
    </w:p>
    <w:p w14:paraId="0C83217D" w14:textId="77777777" w:rsidR="002E1DF2" w:rsidRPr="00BC5A29" w:rsidRDefault="002E1DF2" w:rsidP="002E1DF2">
      <w:pPr>
        <w:spacing w:after="0" w:line="240" w:lineRule="auto"/>
        <w:jc w:val="both"/>
        <w:rPr>
          <w:rFonts w:ascii="Times New Roman" w:hAnsi="Times New Roman"/>
          <w:color w:val="000000" w:themeColor="text1"/>
        </w:rPr>
      </w:pPr>
    </w:p>
    <w:p w14:paraId="1A94FD65" w14:textId="72354522" w:rsidR="002E1DF2" w:rsidRPr="00BC5A29" w:rsidRDefault="002E1DF2" w:rsidP="002E1DF2">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 xml:space="preserve">Varasema maamaksupoliitika tulemusena on enamikul kinnistutel kaitsemehhanismi mõju praegu olematu või väga väike, jäädes kuni 20 euroni aastas. Võrdse kohtlemise põhimõttest lähtudes on põhjendatud jätkata senise kaitsemehhanismi rakendamist samas mahus. Selle põhjuseks on asjaolu, et suurem osa maaomanikest tasub juba praegu maamaksu 0,5-protsendilise maksumäära alusel, samas kui kõrgema väärtusega kinnistute puhul on tegelik maksukoormus </w:t>
      </w:r>
      <w:r w:rsidR="00B36C5B" w:rsidRPr="00BC5A29">
        <w:rPr>
          <w:rFonts w:ascii="Times New Roman" w:hAnsi="Times New Roman"/>
          <w:color w:val="000000" w:themeColor="text1"/>
        </w:rPr>
        <w:t xml:space="preserve">tänu </w:t>
      </w:r>
      <w:r w:rsidRPr="00BC5A29">
        <w:rPr>
          <w:rFonts w:ascii="Times New Roman" w:hAnsi="Times New Roman"/>
          <w:color w:val="000000" w:themeColor="text1"/>
        </w:rPr>
        <w:t>kaitsemehhanismi</w:t>
      </w:r>
      <w:r w:rsidR="00B36C5B" w:rsidRPr="00BC5A29">
        <w:rPr>
          <w:rFonts w:ascii="Times New Roman" w:hAnsi="Times New Roman"/>
          <w:color w:val="000000" w:themeColor="text1"/>
        </w:rPr>
        <w:t>le</w:t>
      </w:r>
      <w:r w:rsidRPr="00BC5A29">
        <w:rPr>
          <w:rFonts w:ascii="Times New Roman" w:hAnsi="Times New Roman"/>
          <w:color w:val="000000" w:themeColor="text1"/>
        </w:rPr>
        <w:t xml:space="preserve"> väiksem ning mõnel juhul isegi alla 0,1 protsendi maa maksustamishinnast.</w:t>
      </w:r>
    </w:p>
    <w:p w14:paraId="6042C084" w14:textId="77777777" w:rsidR="002E1DF2" w:rsidRPr="00BC5A29" w:rsidRDefault="002E1DF2" w:rsidP="002E1DF2">
      <w:pPr>
        <w:spacing w:after="0" w:line="240" w:lineRule="auto"/>
        <w:jc w:val="both"/>
        <w:rPr>
          <w:rFonts w:ascii="Times New Roman" w:hAnsi="Times New Roman"/>
          <w:color w:val="000000" w:themeColor="text1"/>
        </w:rPr>
      </w:pPr>
    </w:p>
    <w:p w14:paraId="60C9DBF0" w14:textId="77777777" w:rsidR="002E1DF2" w:rsidRPr="00BC5A29" w:rsidRDefault="002E1DF2" w:rsidP="002E1DF2">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Valitsus teeb ettepaneku tõsta kohalike elanike toetamiseks koduomaniku maksusoodustuse suurus 400 euroni aastas. Sellisel juhul vabastaks soodustus maamaksust kõik oma elukoha vastavale kinnistule registreerinud elamumaa omanikud. 2027. aasta esialgse maamaksuarvestuse kohaselt ületab 400 euro suuruse soodustuse piiri vaid kolme maaüksuse maamaks. Kõigi nende puhul on tegemist korteriomanditega, kus sissekirjutusega elanikud maamaksu tasuma ei pea.</w:t>
      </w:r>
    </w:p>
    <w:p w14:paraId="4B005BCF" w14:textId="77777777" w:rsidR="00B36C5B" w:rsidRPr="00BC5A29" w:rsidRDefault="00B36C5B" w:rsidP="002E1DF2">
      <w:pPr>
        <w:spacing w:after="0" w:line="240" w:lineRule="auto"/>
        <w:jc w:val="both"/>
        <w:rPr>
          <w:rFonts w:ascii="Times New Roman" w:hAnsi="Times New Roman"/>
          <w:color w:val="000000" w:themeColor="text1"/>
        </w:rPr>
      </w:pPr>
    </w:p>
    <w:p w14:paraId="4FF00BE1" w14:textId="4B29FDBE" w:rsidR="002E1DF2" w:rsidRPr="00BC5A29" w:rsidRDefault="00F24F53">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Eelarvelise kasvu taga</w:t>
      </w:r>
      <w:r w:rsidR="00094BC0" w:rsidRPr="00BC5A29">
        <w:rPr>
          <w:rFonts w:ascii="Times New Roman" w:hAnsi="Times New Roman"/>
          <w:color w:val="000000" w:themeColor="text1"/>
        </w:rPr>
        <w:t xml:space="preserve">mine toodud tabelis 1 maa sihtotstarvete kaupa, </w:t>
      </w:r>
      <w:r w:rsidRPr="00BC5A29">
        <w:rPr>
          <w:rFonts w:ascii="Times New Roman" w:hAnsi="Times New Roman"/>
          <w:color w:val="000000" w:themeColor="text1"/>
        </w:rPr>
        <w:t>mis moodustab kasvust võrreldes 2026 aastaga</w:t>
      </w:r>
      <w:r w:rsidR="00094BC0" w:rsidRPr="00BC5A29">
        <w:rPr>
          <w:rFonts w:ascii="Times New Roman" w:hAnsi="Times New Roman"/>
          <w:color w:val="000000" w:themeColor="text1"/>
        </w:rPr>
        <w:t xml:space="preserve"> </w:t>
      </w:r>
      <w:r w:rsidRPr="00BC5A29">
        <w:rPr>
          <w:rFonts w:ascii="Times New Roman" w:hAnsi="Times New Roman"/>
          <w:color w:val="000000" w:themeColor="text1"/>
        </w:rPr>
        <w:t>kokku</w:t>
      </w:r>
      <w:r w:rsidR="00094BC0" w:rsidRPr="00BC5A29">
        <w:rPr>
          <w:rFonts w:ascii="Times New Roman" w:hAnsi="Times New Roman"/>
          <w:color w:val="000000" w:themeColor="text1"/>
        </w:rPr>
        <w:t xml:space="preserve"> </w:t>
      </w:r>
      <w:r w:rsidR="00BC5A29" w:rsidRPr="00BC5A29">
        <w:rPr>
          <w:rFonts w:ascii="Times New Roman" w:hAnsi="Times New Roman"/>
          <w:color w:val="000000" w:themeColor="text1"/>
        </w:rPr>
        <w:t xml:space="preserve">ca </w:t>
      </w:r>
      <w:r w:rsidR="00094BC0" w:rsidRPr="00BC5A29">
        <w:rPr>
          <w:rFonts w:ascii="Times New Roman" w:hAnsi="Times New Roman"/>
          <w:color w:val="000000" w:themeColor="text1"/>
        </w:rPr>
        <w:t>4</w:t>
      </w:r>
      <w:r w:rsidR="00BC5A29" w:rsidRPr="00BC5A29">
        <w:rPr>
          <w:rFonts w:ascii="Times New Roman" w:hAnsi="Times New Roman"/>
          <w:color w:val="000000" w:themeColor="text1"/>
        </w:rPr>
        <w:t>4 300 EUR</w:t>
      </w:r>
      <w:r w:rsidRPr="00BC5A29">
        <w:rPr>
          <w:rFonts w:ascii="Times New Roman" w:hAnsi="Times New Roman"/>
          <w:color w:val="000000" w:themeColor="text1"/>
        </w:rPr>
        <w:t xml:space="preserve">. </w:t>
      </w:r>
    </w:p>
    <w:p w14:paraId="51317A7F" w14:textId="77777777" w:rsidR="00094BC0" w:rsidRPr="00BC5A29" w:rsidRDefault="00094BC0">
      <w:pPr>
        <w:spacing w:after="0" w:line="240" w:lineRule="auto"/>
        <w:jc w:val="both"/>
        <w:rPr>
          <w:rFonts w:ascii="Times New Roman" w:hAnsi="Times New Roman"/>
          <w:color w:val="000000" w:themeColor="text1"/>
        </w:rPr>
      </w:pPr>
    </w:p>
    <w:p w14:paraId="0E1470B2" w14:textId="32B0BC1B" w:rsidR="00094BC0" w:rsidRPr="00BC5A29" w:rsidRDefault="00094BC0">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Tabel 1</w:t>
      </w:r>
      <w:r w:rsidR="006305D8">
        <w:rPr>
          <w:rFonts w:ascii="Times New Roman" w:hAnsi="Times New Roman"/>
          <w:color w:val="000000" w:themeColor="text1"/>
        </w:rPr>
        <w:t>. S</w:t>
      </w:r>
      <w:r w:rsidRPr="00BC5A29">
        <w:rPr>
          <w:rFonts w:ascii="Times New Roman" w:hAnsi="Times New Roman"/>
          <w:color w:val="000000" w:themeColor="text1"/>
        </w:rPr>
        <w:t>ummaarne maamaks</w:t>
      </w:r>
      <w:r w:rsidR="00590BFE">
        <w:rPr>
          <w:rFonts w:ascii="Times New Roman" w:hAnsi="Times New Roman"/>
          <w:color w:val="000000" w:themeColor="text1"/>
        </w:rPr>
        <w:t>, maksuread</w:t>
      </w:r>
      <w:r w:rsidRPr="00BC5A29">
        <w:rPr>
          <w:rFonts w:ascii="Times New Roman" w:hAnsi="Times New Roman"/>
          <w:color w:val="000000" w:themeColor="text1"/>
        </w:rPr>
        <w:t xml:space="preserve"> 2026</w:t>
      </w:r>
      <w:r w:rsidR="006305D8">
        <w:rPr>
          <w:rFonts w:ascii="Times New Roman" w:hAnsi="Times New Roman"/>
          <w:color w:val="000000" w:themeColor="text1"/>
        </w:rPr>
        <w:t>.</w:t>
      </w:r>
      <w:r w:rsidRPr="00BC5A29">
        <w:rPr>
          <w:rFonts w:ascii="Times New Roman" w:hAnsi="Times New Roman"/>
          <w:color w:val="000000" w:themeColor="text1"/>
        </w:rPr>
        <w:t xml:space="preserve"> ja 2027</w:t>
      </w:r>
      <w:r w:rsidR="006305D8">
        <w:rPr>
          <w:rFonts w:ascii="Times New Roman" w:hAnsi="Times New Roman"/>
          <w:color w:val="000000" w:themeColor="text1"/>
        </w:rPr>
        <w:t>.</w:t>
      </w:r>
      <w:r w:rsidRPr="00BC5A29">
        <w:rPr>
          <w:rFonts w:ascii="Times New Roman" w:hAnsi="Times New Roman"/>
          <w:color w:val="000000" w:themeColor="text1"/>
        </w:rPr>
        <w:t xml:space="preserve"> aastal</w:t>
      </w:r>
      <w:r w:rsidR="00BC5A29" w:rsidRPr="00BC5A29">
        <w:rPr>
          <w:rFonts w:ascii="Times New Roman" w:hAnsi="Times New Roman"/>
          <w:color w:val="000000" w:themeColor="text1"/>
        </w:rPr>
        <w:t xml:space="preserve"> sihtotstarvete kaupa</w:t>
      </w:r>
      <w:r w:rsidR="00590BFE">
        <w:rPr>
          <w:rFonts w:ascii="Times New Roman" w:hAnsi="Times New Roman"/>
          <w:color w:val="000000" w:themeColor="text1"/>
        </w:rPr>
        <w:t xml:space="preserve"> ja muutus ning keskmise statistikud. </w:t>
      </w:r>
      <w:r w:rsidR="00BC5A29" w:rsidRPr="00BC5A29">
        <w:rPr>
          <w:rFonts w:ascii="Times New Roman" w:hAnsi="Times New Roman"/>
          <w:color w:val="000000" w:themeColor="text1"/>
        </w:rPr>
        <w:t>Arvud on toodud euro täpsusega.</w:t>
      </w:r>
      <w:r w:rsidR="00E505AC">
        <w:rPr>
          <w:rFonts w:ascii="Times New Roman" w:hAnsi="Times New Roman"/>
          <w:color w:val="000000" w:themeColor="text1"/>
        </w:rPr>
        <w:t xml:space="preserve"> 2026 aasta andmed lõplikud. 2027. aasta andmed esialgsed. </w:t>
      </w:r>
      <w:r w:rsidR="00E505AC" w:rsidRPr="00BC5A29">
        <w:rPr>
          <w:rFonts w:ascii="Times New Roman" w:hAnsi="Times New Roman"/>
          <w:color w:val="000000" w:themeColor="text1"/>
        </w:rPr>
        <w:t xml:space="preserve">Arvutustest ei ole eemaldatud alla 5 </w:t>
      </w:r>
      <w:proofErr w:type="spellStart"/>
      <w:r w:rsidR="00E505AC" w:rsidRPr="00BC5A29">
        <w:rPr>
          <w:rFonts w:ascii="Times New Roman" w:hAnsi="Times New Roman"/>
          <w:color w:val="000000" w:themeColor="text1"/>
        </w:rPr>
        <w:t>euroseid</w:t>
      </w:r>
      <w:proofErr w:type="spellEnd"/>
      <w:r w:rsidR="00E505AC" w:rsidRPr="00BC5A29">
        <w:rPr>
          <w:rFonts w:ascii="Times New Roman" w:hAnsi="Times New Roman"/>
          <w:color w:val="000000" w:themeColor="text1"/>
        </w:rPr>
        <w:t xml:space="preserve"> maksuteateid</w:t>
      </w:r>
      <w:r w:rsidR="00E505AC">
        <w:rPr>
          <w:rFonts w:ascii="Times New Roman" w:hAnsi="Times New Roman"/>
          <w:color w:val="000000" w:themeColor="text1"/>
        </w:rPr>
        <w:t>, sissekirjutuste seis ei ole lõplik</w:t>
      </w:r>
      <w:r w:rsidR="00E505AC" w:rsidRPr="00BC5A29">
        <w:rPr>
          <w:rFonts w:ascii="Times New Roman" w:hAnsi="Times New Roman"/>
          <w:color w:val="000000" w:themeColor="text1"/>
        </w:rPr>
        <w:t>.</w:t>
      </w:r>
      <w:r w:rsidR="00590BFE">
        <w:rPr>
          <w:rFonts w:ascii="Times New Roman" w:hAnsi="Times New Roman"/>
          <w:color w:val="000000" w:themeColor="text1"/>
        </w:rPr>
        <w:t xml:space="preserve"> Tabelisse toodud statistikud on loodud trendide võrdlemiseks aastate lõikes.</w:t>
      </w:r>
    </w:p>
    <w:tbl>
      <w:tblPr>
        <w:tblW w:w="9493" w:type="dxa"/>
        <w:tblCellMar>
          <w:left w:w="70" w:type="dxa"/>
          <w:right w:w="70" w:type="dxa"/>
        </w:tblCellMar>
        <w:tblLook w:val="04A0" w:firstRow="1" w:lastRow="0" w:firstColumn="1" w:lastColumn="0" w:noHBand="0" w:noVBand="1"/>
      </w:tblPr>
      <w:tblGrid>
        <w:gridCol w:w="1822"/>
        <w:gridCol w:w="1049"/>
        <w:gridCol w:w="1178"/>
        <w:gridCol w:w="1049"/>
        <w:gridCol w:w="1307"/>
        <w:gridCol w:w="820"/>
        <w:gridCol w:w="1134"/>
        <w:gridCol w:w="1134"/>
      </w:tblGrid>
      <w:tr w:rsidR="00590BFE" w:rsidRPr="00E505AC" w14:paraId="47EF549C" w14:textId="5D889CD0" w:rsidTr="00CE7641">
        <w:trPr>
          <w:trHeight w:val="870"/>
        </w:trPr>
        <w:tc>
          <w:tcPr>
            <w:tcW w:w="1822" w:type="dxa"/>
            <w:tcBorders>
              <w:top w:val="single" w:sz="4" w:space="0" w:color="auto"/>
              <w:left w:val="single" w:sz="4" w:space="0" w:color="auto"/>
              <w:bottom w:val="single" w:sz="4" w:space="0" w:color="auto"/>
              <w:right w:val="single" w:sz="4" w:space="0" w:color="auto"/>
            </w:tcBorders>
            <w:vAlign w:val="bottom"/>
            <w:hideMark/>
          </w:tcPr>
          <w:p w14:paraId="0D7C9DE6"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Sihtotstarve</w:t>
            </w:r>
          </w:p>
        </w:tc>
        <w:tc>
          <w:tcPr>
            <w:tcW w:w="1049" w:type="dxa"/>
            <w:tcBorders>
              <w:top w:val="single" w:sz="4" w:space="0" w:color="auto"/>
              <w:left w:val="nil"/>
              <w:bottom w:val="single" w:sz="4" w:space="0" w:color="auto"/>
              <w:right w:val="single" w:sz="4" w:space="0" w:color="auto"/>
            </w:tcBorders>
            <w:vAlign w:val="bottom"/>
            <w:hideMark/>
          </w:tcPr>
          <w:p w14:paraId="0272451B" w14:textId="77777777" w:rsidR="00590BFE"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 xml:space="preserve">2026 </w:t>
            </w:r>
          </w:p>
          <w:p w14:paraId="00C2481E" w14:textId="2D787D79" w:rsidR="00590BFE" w:rsidRPr="00E505AC"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 xml:space="preserve">maksuridade arv  </w:t>
            </w:r>
          </w:p>
        </w:tc>
        <w:tc>
          <w:tcPr>
            <w:tcW w:w="1178" w:type="dxa"/>
            <w:tcBorders>
              <w:top w:val="single" w:sz="4" w:space="0" w:color="auto"/>
              <w:left w:val="nil"/>
              <w:bottom w:val="single" w:sz="4" w:space="0" w:color="auto"/>
              <w:right w:val="single" w:sz="4" w:space="0" w:color="auto"/>
            </w:tcBorders>
            <w:vAlign w:val="bottom"/>
            <w:hideMark/>
          </w:tcPr>
          <w:p w14:paraId="611A7308" w14:textId="77777777" w:rsidR="00590BFE"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2026</w:t>
            </w:r>
          </w:p>
          <w:p w14:paraId="385545EB" w14:textId="4EBBDB50" w:rsidR="00590BFE" w:rsidRPr="00E505AC"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proofErr w:type="spellStart"/>
            <w:r w:rsidRPr="00E505AC">
              <w:rPr>
                <w:rFonts w:ascii="Times New Roman" w:eastAsia="Times New Roman" w:hAnsi="Times New Roman"/>
                <w:b/>
                <w:bCs/>
                <w:color w:val="000000" w:themeColor="text1"/>
                <w:kern w:val="0"/>
                <w:sz w:val="22"/>
                <w:szCs w:val="22"/>
                <w:lang w:eastAsia="et-EE"/>
              </w:rPr>
              <w:t>summarne</w:t>
            </w:r>
            <w:proofErr w:type="spellEnd"/>
            <w:r w:rsidRPr="00E505AC">
              <w:rPr>
                <w:rFonts w:ascii="Times New Roman" w:eastAsia="Times New Roman" w:hAnsi="Times New Roman"/>
                <w:b/>
                <w:bCs/>
                <w:color w:val="000000" w:themeColor="text1"/>
                <w:kern w:val="0"/>
                <w:sz w:val="22"/>
                <w:szCs w:val="22"/>
                <w:lang w:eastAsia="et-EE"/>
              </w:rPr>
              <w:t xml:space="preserve"> maks</w:t>
            </w:r>
          </w:p>
        </w:tc>
        <w:tc>
          <w:tcPr>
            <w:tcW w:w="1049" w:type="dxa"/>
            <w:tcBorders>
              <w:top w:val="single" w:sz="4" w:space="0" w:color="auto"/>
              <w:left w:val="nil"/>
              <w:bottom w:val="single" w:sz="4" w:space="0" w:color="auto"/>
              <w:right w:val="single" w:sz="4" w:space="0" w:color="auto"/>
            </w:tcBorders>
            <w:vAlign w:val="bottom"/>
            <w:hideMark/>
          </w:tcPr>
          <w:p w14:paraId="7CAA2E34" w14:textId="77777777" w:rsidR="00590BFE"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 xml:space="preserve"> 2027 </w:t>
            </w:r>
          </w:p>
          <w:p w14:paraId="3A6829DB" w14:textId="0AC32D36" w:rsidR="00590BFE" w:rsidRPr="00E505AC"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 xml:space="preserve">maksuridade arv </w:t>
            </w:r>
          </w:p>
        </w:tc>
        <w:tc>
          <w:tcPr>
            <w:tcW w:w="1307" w:type="dxa"/>
            <w:tcBorders>
              <w:top w:val="single" w:sz="4" w:space="0" w:color="auto"/>
              <w:left w:val="nil"/>
              <w:bottom w:val="single" w:sz="4" w:space="0" w:color="auto"/>
              <w:right w:val="single" w:sz="4" w:space="0" w:color="auto"/>
            </w:tcBorders>
            <w:vAlign w:val="bottom"/>
            <w:hideMark/>
          </w:tcPr>
          <w:p w14:paraId="0AEA97CD" w14:textId="77777777" w:rsidR="00590BFE"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2027</w:t>
            </w:r>
          </w:p>
          <w:p w14:paraId="491A8190" w14:textId="64CE3ACF" w:rsidR="00590BFE" w:rsidRPr="00E505AC"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proofErr w:type="spellStart"/>
            <w:r w:rsidRPr="00E505AC">
              <w:rPr>
                <w:rFonts w:ascii="Times New Roman" w:eastAsia="Times New Roman" w:hAnsi="Times New Roman"/>
                <w:b/>
                <w:bCs/>
                <w:color w:val="000000" w:themeColor="text1"/>
                <w:kern w:val="0"/>
                <w:sz w:val="22"/>
                <w:szCs w:val="22"/>
                <w:lang w:eastAsia="et-EE"/>
              </w:rPr>
              <w:t>summarne</w:t>
            </w:r>
            <w:proofErr w:type="spellEnd"/>
            <w:r w:rsidRPr="00E505AC">
              <w:rPr>
                <w:rFonts w:ascii="Times New Roman" w:eastAsia="Times New Roman" w:hAnsi="Times New Roman"/>
                <w:b/>
                <w:bCs/>
                <w:color w:val="000000" w:themeColor="text1"/>
                <w:kern w:val="0"/>
                <w:sz w:val="22"/>
                <w:szCs w:val="22"/>
                <w:lang w:eastAsia="et-EE"/>
              </w:rPr>
              <w:t xml:space="preserve"> maks</w:t>
            </w:r>
          </w:p>
        </w:tc>
        <w:tc>
          <w:tcPr>
            <w:tcW w:w="820" w:type="dxa"/>
            <w:tcBorders>
              <w:top w:val="single" w:sz="4" w:space="0" w:color="auto"/>
              <w:left w:val="nil"/>
              <w:bottom w:val="single" w:sz="4" w:space="0" w:color="auto"/>
              <w:right w:val="single" w:sz="4" w:space="0" w:color="auto"/>
            </w:tcBorders>
            <w:vAlign w:val="bottom"/>
            <w:hideMark/>
          </w:tcPr>
          <w:p w14:paraId="18E94456"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muutus</w:t>
            </w:r>
          </w:p>
        </w:tc>
        <w:tc>
          <w:tcPr>
            <w:tcW w:w="1134" w:type="dxa"/>
            <w:tcBorders>
              <w:top w:val="single" w:sz="4" w:space="0" w:color="auto"/>
              <w:left w:val="nil"/>
              <w:bottom w:val="single" w:sz="4" w:space="0" w:color="auto"/>
              <w:right w:val="single" w:sz="4" w:space="0" w:color="auto"/>
            </w:tcBorders>
            <w:vAlign w:val="bottom"/>
          </w:tcPr>
          <w:p w14:paraId="7ACE201B" w14:textId="4A638290" w:rsidR="00590BFE" w:rsidRPr="00590BFE"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590BFE">
              <w:rPr>
                <w:rFonts w:ascii="Aptos Narrow" w:hAnsi="Aptos Narrow"/>
                <w:b/>
                <w:bCs/>
                <w:color w:val="000000"/>
                <w:sz w:val="22"/>
                <w:szCs w:val="22"/>
              </w:rPr>
              <w:t>statistik1 maksu keskmine</w:t>
            </w:r>
          </w:p>
        </w:tc>
        <w:tc>
          <w:tcPr>
            <w:tcW w:w="1134" w:type="dxa"/>
            <w:tcBorders>
              <w:top w:val="single" w:sz="4" w:space="0" w:color="auto"/>
              <w:left w:val="nil"/>
              <w:bottom w:val="single" w:sz="4" w:space="0" w:color="auto"/>
              <w:right w:val="single" w:sz="4" w:space="0" w:color="auto"/>
            </w:tcBorders>
            <w:vAlign w:val="center"/>
          </w:tcPr>
          <w:p w14:paraId="5CF4B30C" w14:textId="7142C37B" w:rsidR="00590BFE" w:rsidRPr="00E505AC" w:rsidRDefault="00590BFE" w:rsidP="00590BFE">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Pr>
                <w:b/>
                <w:bCs/>
                <w:color w:val="000000"/>
                <w:sz w:val="22"/>
                <w:szCs w:val="22"/>
              </w:rPr>
              <w:t>statistik2 muutuse keskmine</w:t>
            </w:r>
          </w:p>
        </w:tc>
      </w:tr>
      <w:tr w:rsidR="00590BFE" w:rsidRPr="00E505AC" w14:paraId="20BB0018" w14:textId="3285CB3F"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438DB572"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Ärimaa</w:t>
            </w:r>
          </w:p>
        </w:tc>
        <w:tc>
          <w:tcPr>
            <w:tcW w:w="1049" w:type="dxa"/>
            <w:tcBorders>
              <w:top w:val="nil"/>
              <w:left w:val="nil"/>
              <w:bottom w:val="single" w:sz="4" w:space="0" w:color="auto"/>
              <w:right w:val="single" w:sz="4" w:space="0" w:color="auto"/>
            </w:tcBorders>
            <w:noWrap/>
            <w:vAlign w:val="bottom"/>
            <w:hideMark/>
          </w:tcPr>
          <w:p w14:paraId="2E76A8E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78</w:t>
            </w:r>
          </w:p>
        </w:tc>
        <w:tc>
          <w:tcPr>
            <w:tcW w:w="1178" w:type="dxa"/>
            <w:tcBorders>
              <w:top w:val="nil"/>
              <w:left w:val="nil"/>
              <w:bottom w:val="single" w:sz="4" w:space="0" w:color="auto"/>
              <w:right w:val="single" w:sz="4" w:space="0" w:color="auto"/>
            </w:tcBorders>
            <w:noWrap/>
            <w:vAlign w:val="bottom"/>
            <w:hideMark/>
          </w:tcPr>
          <w:p w14:paraId="193ACBF6"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6307</w:t>
            </w:r>
          </w:p>
        </w:tc>
        <w:tc>
          <w:tcPr>
            <w:tcW w:w="1049" w:type="dxa"/>
            <w:tcBorders>
              <w:top w:val="nil"/>
              <w:left w:val="nil"/>
              <w:bottom w:val="single" w:sz="4" w:space="0" w:color="auto"/>
              <w:right w:val="single" w:sz="4" w:space="0" w:color="auto"/>
            </w:tcBorders>
            <w:noWrap/>
            <w:vAlign w:val="bottom"/>
            <w:hideMark/>
          </w:tcPr>
          <w:p w14:paraId="7FAF639F"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77</w:t>
            </w:r>
          </w:p>
        </w:tc>
        <w:tc>
          <w:tcPr>
            <w:tcW w:w="1307" w:type="dxa"/>
            <w:tcBorders>
              <w:top w:val="nil"/>
              <w:left w:val="nil"/>
              <w:bottom w:val="single" w:sz="4" w:space="0" w:color="auto"/>
              <w:right w:val="single" w:sz="4" w:space="0" w:color="auto"/>
            </w:tcBorders>
            <w:noWrap/>
            <w:vAlign w:val="bottom"/>
            <w:hideMark/>
          </w:tcPr>
          <w:p w14:paraId="068DC101"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7968</w:t>
            </w:r>
          </w:p>
        </w:tc>
        <w:tc>
          <w:tcPr>
            <w:tcW w:w="820" w:type="dxa"/>
            <w:tcBorders>
              <w:top w:val="nil"/>
              <w:left w:val="nil"/>
              <w:bottom w:val="single" w:sz="4" w:space="0" w:color="auto"/>
              <w:right w:val="single" w:sz="4" w:space="0" w:color="auto"/>
            </w:tcBorders>
            <w:noWrap/>
            <w:vAlign w:val="bottom"/>
            <w:hideMark/>
          </w:tcPr>
          <w:p w14:paraId="0731E8C2"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1661</w:t>
            </w:r>
          </w:p>
        </w:tc>
        <w:tc>
          <w:tcPr>
            <w:tcW w:w="1134" w:type="dxa"/>
            <w:tcBorders>
              <w:top w:val="nil"/>
              <w:left w:val="nil"/>
              <w:bottom w:val="single" w:sz="4" w:space="0" w:color="auto"/>
              <w:right w:val="single" w:sz="4" w:space="0" w:color="auto"/>
            </w:tcBorders>
            <w:vAlign w:val="bottom"/>
          </w:tcPr>
          <w:p w14:paraId="718C201D" w14:textId="7865EAE0"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103,48</w:t>
            </w:r>
          </w:p>
        </w:tc>
        <w:tc>
          <w:tcPr>
            <w:tcW w:w="1134" w:type="dxa"/>
            <w:tcBorders>
              <w:top w:val="nil"/>
              <w:left w:val="nil"/>
              <w:bottom w:val="single" w:sz="4" w:space="0" w:color="auto"/>
              <w:right w:val="single" w:sz="4" w:space="0" w:color="auto"/>
            </w:tcBorders>
            <w:vAlign w:val="bottom"/>
          </w:tcPr>
          <w:p w14:paraId="51D2FB57" w14:textId="4FB4438E"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21,57</w:t>
            </w:r>
          </w:p>
        </w:tc>
      </w:tr>
      <w:tr w:rsidR="00590BFE" w:rsidRPr="00E505AC" w14:paraId="1242A7A7" w14:textId="26010F13"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40FF533D"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Ühiskondlike ehitiste maa</w:t>
            </w:r>
          </w:p>
        </w:tc>
        <w:tc>
          <w:tcPr>
            <w:tcW w:w="1049" w:type="dxa"/>
            <w:tcBorders>
              <w:top w:val="nil"/>
              <w:left w:val="nil"/>
              <w:bottom w:val="single" w:sz="4" w:space="0" w:color="auto"/>
              <w:right w:val="single" w:sz="4" w:space="0" w:color="auto"/>
            </w:tcBorders>
            <w:noWrap/>
            <w:vAlign w:val="bottom"/>
            <w:hideMark/>
          </w:tcPr>
          <w:p w14:paraId="1E291FAF"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w:t>
            </w:r>
          </w:p>
        </w:tc>
        <w:tc>
          <w:tcPr>
            <w:tcW w:w="1178" w:type="dxa"/>
            <w:tcBorders>
              <w:top w:val="nil"/>
              <w:left w:val="nil"/>
              <w:bottom w:val="single" w:sz="4" w:space="0" w:color="auto"/>
              <w:right w:val="single" w:sz="4" w:space="0" w:color="auto"/>
            </w:tcBorders>
            <w:noWrap/>
            <w:vAlign w:val="bottom"/>
            <w:hideMark/>
          </w:tcPr>
          <w:p w14:paraId="2AB12BD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203</w:t>
            </w:r>
          </w:p>
        </w:tc>
        <w:tc>
          <w:tcPr>
            <w:tcW w:w="1049" w:type="dxa"/>
            <w:tcBorders>
              <w:top w:val="nil"/>
              <w:left w:val="nil"/>
              <w:bottom w:val="single" w:sz="4" w:space="0" w:color="auto"/>
              <w:right w:val="single" w:sz="4" w:space="0" w:color="auto"/>
            </w:tcBorders>
            <w:noWrap/>
            <w:vAlign w:val="bottom"/>
            <w:hideMark/>
          </w:tcPr>
          <w:p w14:paraId="69EC3BA2"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w:t>
            </w:r>
          </w:p>
        </w:tc>
        <w:tc>
          <w:tcPr>
            <w:tcW w:w="1307" w:type="dxa"/>
            <w:tcBorders>
              <w:top w:val="nil"/>
              <w:left w:val="nil"/>
              <w:bottom w:val="single" w:sz="4" w:space="0" w:color="auto"/>
              <w:right w:val="single" w:sz="4" w:space="0" w:color="auto"/>
            </w:tcBorders>
            <w:noWrap/>
            <w:vAlign w:val="bottom"/>
            <w:hideMark/>
          </w:tcPr>
          <w:p w14:paraId="26B8B635"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375</w:t>
            </w:r>
          </w:p>
        </w:tc>
        <w:tc>
          <w:tcPr>
            <w:tcW w:w="820" w:type="dxa"/>
            <w:tcBorders>
              <w:top w:val="nil"/>
              <w:left w:val="nil"/>
              <w:bottom w:val="single" w:sz="4" w:space="0" w:color="auto"/>
              <w:right w:val="single" w:sz="4" w:space="0" w:color="auto"/>
            </w:tcBorders>
            <w:noWrap/>
            <w:vAlign w:val="bottom"/>
            <w:hideMark/>
          </w:tcPr>
          <w:p w14:paraId="1732C880"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172</w:t>
            </w:r>
          </w:p>
        </w:tc>
        <w:tc>
          <w:tcPr>
            <w:tcW w:w="1134" w:type="dxa"/>
            <w:tcBorders>
              <w:top w:val="nil"/>
              <w:left w:val="nil"/>
              <w:bottom w:val="single" w:sz="4" w:space="0" w:color="auto"/>
              <w:right w:val="single" w:sz="4" w:space="0" w:color="auto"/>
            </w:tcBorders>
            <w:vAlign w:val="bottom"/>
          </w:tcPr>
          <w:p w14:paraId="7B0380D2" w14:textId="3EF8D658"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93,75</w:t>
            </w:r>
          </w:p>
        </w:tc>
        <w:tc>
          <w:tcPr>
            <w:tcW w:w="1134" w:type="dxa"/>
            <w:tcBorders>
              <w:top w:val="nil"/>
              <w:left w:val="nil"/>
              <w:bottom w:val="single" w:sz="4" w:space="0" w:color="auto"/>
              <w:right w:val="single" w:sz="4" w:space="0" w:color="auto"/>
            </w:tcBorders>
            <w:vAlign w:val="bottom"/>
          </w:tcPr>
          <w:p w14:paraId="11AC16E9" w14:textId="6B43CF99"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43</w:t>
            </w:r>
          </w:p>
        </w:tc>
      </w:tr>
      <w:tr w:rsidR="00590BFE" w:rsidRPr="00E505AC" w14:paraId="05392277" w14:textId="11F7954E"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22265A48"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Üldkasutatav maa</w:t>
            </w:r>
          </w:p>
        </w:tc>
        <w:tc>
          <w:tcPr>
            <w:tcW w:w="1049" w:type="dxa"/>
            <w:tcBorders>
              <w:top w:val="nil"/>
              <w:left w:val="nil"/>
              <w:bottom w:val="single" w:sz="4" w:space="0" w:color="auto"/>
              <w:right w:val="single" w:sz="4" w:space="0" w:color="auto"/>
            </w:tcBorders>
            <w:noWrap/>
            <w:vAlign w:val="bottom"/>
            <w:hideMark/>
          </w:tcPr>
          <w:p w14:paraId="346240DE"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102</w:t>
            </w:r>
          </w:p>
        </w:tc>
        <w:tc>
          <w:tcPr>
            <w:tcW w:w="1178" w:type="dxa"/>
            <w:tcBorders>
              <w:top w:val="nil"/>
              <w:left w:val="nil"/>
              <w:bottom w:val="single" w:sz="4" w:space="0" w:color="auto"/>
              <w:right w:val="single" w:sz="4" w:space="0" w:color="auto"/>
            </w:tcBorders>
            <w:noWrap/>
            <w:vAlign w:val="bottom"/>
            <w:hideMark/>
          </w:tcPr>
          <w:p w14:paraId="385F4DC7"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18</w:t>
            </w:r>
          </w:p>
        </w:tc>
        <w:tc>
          <w:tcPr>
            <w:tcW w:w="1049" w:type="dxa"/>
            <w:tcBorders>
              <w:top w:val="nil"/>
              <w:left w:val="nil"/>
              <w:bottom w:val="single" w:sz="4" w:space="0" w:color="auto"/>
              <w:right w:val="single" w:sz="4" w:space="0" w:color="auto"/>
            </w:tcBorders>
            <w:noWrap/>
            <w:vAlign w:val="bottom"/>
            <w:hideMark/>
          </w:tcPr>
          <w:p w14:paraId="3B37AFEC"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102</w:t>
            </w:r>
          </w:p>
        </w:tc>
        <w:tc>
          <w:tcPr>
            <w:tcW w:w="1307" w:type="dxa"/>
            <w:tcBorders>
              <w:top w:val="nil"/>
              <w:left w:val="nil"/>
              <w:bottom w:val="single" w:sz="4" w:space="0" w:color="auto"/>
              <w:right w:val="single" w:sz="4" w:space="0" w:color="auto"/>
            </w:tcBorders>
            <w:noWrap/>
            <w:vAlign w:val="bottom"/>
            <w:hideMark/>
          </w:tcPr>
          <w:p w14:paraId="6264C866"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796</w:t>
            </w:r>
          </w:p>
        </w:tc>
        <w:tc>
          <w:tcPr>
            <w:tcW w:w="820" w:type="dxa"/>
            <w:tcBorders>
              <w:top w:val="nil"/>
              <w:left w:val="nil"/>
              <w:bottom w:val="single" w:sz="4" w:space="0" w:color="auto"/>
              <w:right w:val="single" w:sz="4" w:space="0" w:color="auto"/>
            </w:tcBorders>
            <w:noWrap/>
            <w:vAlign w:val="bottom"/>
            <w:hideMark/>
          </w:tcPr>
          <w:p w14:paraId="4F68DED3"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778</w:t>
            </w:r>
          </w:p>
        </w:tc>
        <w:tc>
          <w:tcPr>
            <w:tcW w:w="1134" w:type="dxa"/>
            <w:tcBorders>
              <w:top w:val="nil"/>
              <w:left w:val="nil"/>
              <w:bottom w:val="single" w:sz="4" w:space="0" w:color="auto"/>
              <w:right w:val="single" w:sz="4" w:space="0" w:color="auto"/>
            </w:tcBorders>
            <w:vAlign w:val="bottom"/>
          </w:tcPr>
          <w:p w14:paraId="3CAD8A3F" w14:textId="2380146C"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7,80</w:t>
            </w:r>
          </w:p>
        </w:tc>
        <w:tc>
          <w:tcPr>
            <w:tcW w:w="1134" w:type="dxa"/>
            <w:tcBorders>
              <w:top w:val="nil"/>
              <w:left w:val="nil"/>
              <w:bottom w:val="single" w:sz="4" w:space="0" w:color="auto"/>
              <w:right w:val="single" w:sz="4" w:space="0" w:color="auto"/>
            </w:tcBorders>
            <w:vAlign w:val="bottom"/>
          </w:tcPr>
          <w:p w14:paraId="62278EB3" w14:textId="317F3BB5"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7,6</w:t>
            </w:r>
            <w:r w:rsidR="00FF6E4B">
              <w:rPr>
                <w:rFonts w:ascii="Aptos Narrow" w:hAnsi="Aptos Narrow"/>
                <w:color w:val="000000"/>
                <w:sz w:val="22"/>
                <w:szCs w:val="22"/>
              </w:rPr>
              <w:t>3</w:t>
            </w:r>
          </w:p>
        </w:tc>
      </w:tr>
      <w:tr w:rsidR="00590BFE" w:rsidRPr="00E505AC" w14:paraId="6C890B67" w14:textId="229A602A" w:rsidTr="00CE7641">
        <w:trPr>
          <w:trHeight w:val="816"/>
        </w:trPr>
        <w:tc>
          <w:tcPr>
            <w:tcW w:w="1822" w:type="dxa"/>
            <w:tcBorders>
              <w:top w:val="nil"/>
              <w:left w:val="single" w:sz="4" w:space="0" w:color="auto"/>
              <w:bottom w:val="single" w:sz="4" w:space="0" w:color="auto"/>
              <w:right w:val="single" w:sz="4" w:space="0" w:color="auto"/>
            </w:tcBorders>
            <w:noWrap/>
            <w:vAlign w:val="bottom"/>
            <w:hideMark/>
          </w:tcPr>
          <w:p w14:paraId="7BEBF296"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kodusoodustusega elamumaa (sh õuemaa)</w:t>
            </w:r>
          </w:p>
        </w:tc>
        <w:tc>
          <w:tcPr>
            <w:tcW w:w="1049" w:type="dxa"/>
            <w:tcBorders>
              <w:top w:val="nil"/>
              <w:left w:val="nil"/>
              <w:bottom w:val="single" w:sz="4" w:space="0" w:color="auto"/>
              <w:right w:val="single" w:sz="4" w:space="0" w:color="auto"/>
            </w:tcBorders>
            <w:noWrap/>
            <w:vAlign w:val="bottom"/>
            <w:hideMark/>
          </w:tcPr>
          <w:p w14:paraId="25C67003"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2361</w:t>
            </w:r>
          </w:p>
        </w:tc>
        <w:tc>
          <w:tcPr>
            <w:tcW w:w="1178" w:type="dxa"/>
            <w:tcBorders>
              <w:top w:val="nil"/>
              <w:left w:val="nil"/>
              <w:bottom w:val="single" w:sz="4" w:space="0" w:color="auto"/>
              <w:right w:val="single" w:sz="4" w:space="0" w:color="auto"/>
            </w:tcBorders>
            <w:noWrap/>
            <w:vAlign w:val="bottom"/>
            <w:hideMark/>
          </w:tcPr>
          <w:p w14:paraId="48C3DEF5"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19069</w:t>
            </w:r>
          </w:p>
        </w:tc>
        <w:tc>
          <w:tcPr>
            <w:tcW w:w="1049" w:type="dxa"/>
            <w:tcBorders>
              <w:top w:val="nil"/>
              <w:left w:val="nil"/>
              <w:bottom w:val="single" w:sz="4" w:space="0" w:color="auto"/>
              <w:right w:val="single" w:sz="4" w:space="0" w:color="auto"/>
            </w:tcBorders>
            <w:noWrap/>
            <w:vAlign w:val="bottom"/>
            <w:hideMark/>
          </w:tcPr>
          <w:p w14:paraId="1D4D3BDE"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2369</w:t>
            </w:r>
          </w:p>
        </w:tc>
        <w:tc>
          <w:tcPr>
            <w:tcW w:w="1307" w:type="dxa"/>
            <w:tcBorders>
              <w:top w:val="nil"/>
              <w:left w:val="nil"/>
              <w:bottom w:val="single" w:sz="4" w:space="0" w:color="auto"/>
              <w:right w:val="single" w:sz="4" w:space="0" w:color="auto"/>
            </w:tcBorders>
            <w:noWrap/>
            <w:vAlign w:val="bottom"/>
            <w:hideMark/>
          </w:tcPr>
          <w:p w14:paraId="36FE657A"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65</w:t>
            </w:r>
          </w:p>
        </w:tc>
        <w:tc>
          <w:tcPr>
            <w:tcW w:w="820" w:type="dxa"/>
            <w:tcBorders>
              <w:top w:val="nil"/>
              <w:left w:val="nil"/>
              <w:bottom w:val="single" w:sz="4" w:space="0" w:color="auto"/>
              <w:right w:val="single" w:sz="4" w:space="0" w:color="auto"/>
            </w:tcBorders>
            <w:noWrap/>
            <w:vAlign w:val="bottom"/>
            <w:hideMark/>
          </w:tcPr>
          <w:p w14:paraId="5887CB24"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-19004</w:t>
            </w:r>
          </w:p>
        </w:tc>
        <w:tc>
          <w:tcPr>
            <w:tcW w:w="1134" w:type="dxa"/>
            <w:tcBorders>
              <w:top w:val="nil"/>
              <w:left w:val="nil"/>
              <w:bottom w:val="single" w:sz="4" w:space="0" w:color="auto"/>
              <w:right w:val="single" w:sz="4" w:space="0" w:color="auto"/>
            </w:tcBorders>
            <w:vAlign w:val="bottom"/>
          </w:tcPr>
          <w:p w14:paraId="794A19C9" w14:textId="1D3D2F7A"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0,03</w:t>
            </w:r>
          </w:p>
        </w:tc>
        <w:tc>
          <w:tcPr>
            <w:tcW w:w="1134" w:type="dxa"/>
            <w:tcBorders>
              <w:top w:val="nil"/>
              <w:left w:val="nil"/>
              <w:bottom w:val="single" w:sz="4" w:space="0" w:color="auto"/>
              <w:right w:val="single" w:sz="4" w:space="0" w:color="auto"/>
            </w:tcBorders>
            <w:vAlign w:val="bottom"/>
          </w:tcPr>
          <w:p w14:paraId="1767FDC2" w14:textId="72A1D53B"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-8,02</w:t>
            </w:r>
          </w:p>
        </w:tc>
      </w:tr>
      <w:tr w:rsidR="00590BFE" w:rsidRPr="00E505AC" w14:paraId="77DAA2A7" w14:textId="0B7EAE6E"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60875AC3"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Elamumaa ilma kodusoodustuseta  (sh õuemaa)</w:t>
            </w:r>
          </w:p>
        </w:tc>
        <w:tc>
          <w:tcPr>
            <w:tcW w:w="1049" w:type="dxa"/>
            <w:tcBorders>
              <w:top w:val="nil"/>
              <w:left w:val="nil"/>
              <w:bottom w:val="single" w:sz="4" w:space="0" w:color="auto"/>
              <w:right w:val="single" w:sz="4" w:space="0" w:color="auto"/>
            </w:tcBorders>
            <w:noWrap/>
            <w:vAlign w:val="bottom"/>
            <w:hideMark/>
          </w:tcPr>
          <w:p w14:paraId="43B1DDD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2137</w:t>
            </w:r>
          </w:p>
        </w:tc>
        <w:tc>
          <w:tcPr>
            <w:tcW w:w="1178" w:type="dxa"/>
            <w:tcBorders>
              <w:top w:val="nil"/>
              <w:left w:val="nil"/>
              <w:bottom w:val="single" w:sz="4" w:space="0" w:color="auto"/>
              <w:right w:val="single" w:sz="4" w:space="0" w:color="auto"/>
            </w:tcBorders>
            <w:noWrap/>
            <w:vAlign w:val="bottom"/>
            <w:hideMark/>
          </w:tcPr>
          <w:p w14:paraId="1998ED6F"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102558</w:t>
            </w:r>
          </w:p>
        </w:tc>
        <w:tc>
          <w:tcPr>
            <w:tcW w:w="1049" w:type="dxa"/>
            <w:tcBorders>
              <w:top w:val="nil"/>
              <w:left w:val="nil"/>
              <w:bottom w:val="single" w:sz="4" w:space="0" w:color="auto"/>
              <w:right w:val="single" w:sz="4" w:space="0" w:color="auto"/>
            </w:tcBorders>
            <w:noWrap/>
            <w:vAlign w:val="bottom"/>
            <w:hideMark/>
          </w:tcPr>
          <w:p w14:paraId="1AD96AC2"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2164</w:t>
            </w:r>
          </w:p>
        </w:tc>
        <w:tc>
          <w:tcPr>
            <w:tcW w:w="1307" w:type="dxa"/>
            <w:tcBorders>
              <w:top w:val="nil"/>
              <w:left w:val="nil"/>
              <w:bottom w:val="single" w:sz="4" w:space="0" w:color="auto"/>
              <w:right w:val="single" w:sz="4" w:space="0" w:color="auto"/>
            </w:tcBorders>
            <w:noWrap/>
            <w:vAlign w:val="bottom"/>
            <w:hideMark/>
          </w:tcPr>
          <w:p w14:paraId="21E14721"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138649</w:t>
            </w:r>
          </w:p>
        </w:tc>
        <w:tc>
          <w:tcPr>
            <w:tcW w:w="820" w:type="dxa"/>
            <w:tcBorders>
              <w:top w:val="nil"/>
              <w:left w:val="nil"/>
              <w:bottom w:val="single" w:sz="4" w:space="0" w:color="auto"/>
              <w:right w:val="single" w:sz="4" w:space="0" w:color="auto"/>
            </w:tcBorders>
            <w:noWrap/>
            <w:vAlign w:val="bottom"/>
            <w:hideMark/>
          </w:tcPr>
          <w:p w14:paraId="5A728EBC"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36091</w:t>
            </w:r>
          </w:p>
        </w:tc>
        <w:tc>
          <w:tcPr>
            <w:tcW w:w="1134" w:type="dxa"/>
            <w:tcBorders>
              <w:top w:val="nil"/>
              <w:left w:val="nil"/>
              <w:bottom w:val="single" w:sz="4" w:space="0" w:color="auto"/>
              <w:right w:val="single" w:sz="4" w:space="0" w:color="auto"/>
            </w:tcBorders>
            <w:vAlign w:val="bottom"/>
          </w:tcPr>
          <w:p w14:paraId="73954790" w14:textId="3FADC251"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64,07</w:t>
            </w:r>
          </w:p>
        </w:tc>
        <w:tc>
          <w:tcPr>
            <w:tcW w:w="1134" w:type="dxa"/>
            <w:tcBorders>
              <w:top w:val="nil"/>
              <w:left w:val="nil"/>
              <w:bottom w:val="single" w:sz="4" w:space="0" w:color="auto"/>
              <w:right w:val="single" w:sz="4" w:space="0" w:color="auto"/>
            </w:tcBorders>
            <w:vAlign w:val="bottom"/>
          </w:tcPr>
          <w:p w14:paraId="15F67938" w14:textId="16F92F69"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16,6</w:t>
            </w:r>
            <w:r w:rsidR="00FF6E4B">
              <w:rPr>
                <w:rFonts w:ascii="Aptos Narrow" w:hAnsi="Aptos Narrow"/>
                <w:color w:val="000000"/>
                <w:sz w:val="22"/>
                <w:szCs w:val="22"/>
              </w:rPr>
              <w:t>8</w:t>
            </w:r>
          </w:p>
        </w:tc>
      </w:tr>
      <w:tr w:rsidR="00590BFE" w:rsidRPr="00E505AC" w14:paraId="0A911A55" w14:textId="2B952938"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199ED123"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Jäätmehoidla maa</w:t>
            </w:r>
          </w:p>
        </w:tc>
        <w:tc>
          <w:tcPr>
            <w:tcW w:w="1049" w:type="dxa"/>
            <w:tcBorders>
              <w:top w:val="nil"/>
              <w:left w:val="nil"/>
              <w:bottom w:val="single" w:sz="4" w:space="0" w:color="auto"/>
              <w:right w:val="single" w:sz="4" w:space="0" w:color="auto"/>
            </w:tcBorders>
            <w:noWrap/>
            <w:vAlign w:val="bottom"/>
            <w:hideMark/>
          </w:tcPr>
          <w:p w14:paraId="7CC9F7EA"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w:t>
            </w:r>
          </w:p>
        </w:tc>
        <w:tc>
          <w:tcPr>
            <w:tcW w:w="1178" w:type="dxa"/>
            <w:tcBorders>
              <w:top w:val="nil"/>
              <w:left w:val="nil"/>
              <w:bottom w:val="single" w:sz="4" w:space="0" w:color="auto"/>
              <w:right w:val="single" w:sz="4" w:space="0" w:color="auto"/>
            </w:tcBorders>
            <w:noWrap/>
            <w:vAlign w:val="bottom"/>
            <w:hideMark/>
          </w:tcPr>
          <w:p w14:paraId="6B38C1C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39</w:t>
            </w:r>
          </w:p>
        </w:tc>
        <w:tc>
          <w:tcPr>
            <w:tcW w:w="1049" w:type="dxa"/>
            <w:tcBorders>
              <w:top w:val="nil"/>
              <w:left w:val="nil"/>
              <w:bottom w:val="single" w:sz="4" w:space="0" w:color="auto"/>
              <w:right w:val="single" w:sz="4" w:space="0" w:color="auto"/>
            </w:tcBorders>
            <w:noWrap/>
            <w:vAlign w:val="bottom"/>
            <w:hideMark/>
          </w:tcPr>
          <w:p w14:paraId="7B6F7743"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w:t>
            </w:r>
          </w:p>
        </w:tc>
        <w:tc>
          <w:tcPr>
            <w:tcW w:w="1307" w:type="dxa"/>
            <w:tcBorders>
              <w:top w:val="nil"/>
              <w:left w:val="nil"/>
              <w:bottom w:val="single" w:sz="4" w:space="0" w:color="auto"/>
              <w:right w:val="single" w:sz="4" w:space="0" w:color="auto"/>
            </w:tcBorders>
            <w:noWrap/>
            <w:vAlign w:val="bottom"/>
            <w:hideMark/>
          </w:tcPr>
          <w:p w14:paraId="7E3F428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39</w:t>
            </w:r>
          </w:p>
        </w:tc>
        <w:tc>
          <w:tcPr>
            <w:tcW w:w="820" w:type="dxa"/>
            <w:tcBorders>
              <w:top w:val="nil"/>
              <w:left w:val="nil"/>
              <w:bottom w:val="single" w:sz="4" w:space="0" w:color="auto"/>
              <w:right w:val="single" w:sz="4" w:space="0" w:color="auto"/>
            </w:tcBorders>
            <w:noWrap/>
            <w:vAlign w:val="bottom"/>
            <w:hideMark/>
          </w:tcPr>
          <w:p w14:paraId="5BE8BC6A"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0</w:t>
            </w:r>
          </w:p>
        </w:tc>
        <w:tc>
          <w:tcPr>
            <w:tcW w:w="1134" w:type="dxa"/>
            <w:tcBorders>
              <w:top w:val="nil"/>
              <w:left w:val="nil"/>
              <w:bottom w:val="single" w:sz="4" w:space="0" w:color="auto"/>
              <w:right w:val="single" w:sz="4" w:space="0" w:color="auto"/>
            </w:tcBorders>
            <w:vAlign w:val="bottom"/>
          </w:tcPr>
          <w:p w14:paraId="049EDB6E" w14:textId="2ED33834"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13,00</w:t>
            </w:r>
          </w:p>
        </w:tc>
        <w:tc>
          <w:tcPr>
            <w:tcW w:w="1134" w:type="dxa"/>
            <w:tcBorders>
              <w:top w:val="nil"/>
              <w:left w:val="nil"/>
              <w:bottom w:val="single" w:sz="4" w:space="0" w:color="auto"/>
              <w:right w:val="single" w:sz="4" w:space="0" w:color="auto"/>
            </w:tcBorders>
            <w:vAlign w:val="bottom"/>
          </w:tcPr>
          <w:p w14:paraId="145B14F3" w14:textId="5EEAAE0A" w:rsidR="00590BFE" w:rsidRPr="00E505AC" w:rsidRDefault="00FF6E4B"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,00</w:t>
            </w:r>
            <w:r w:rsidR="00590BFE">
              <w:rPr>
                <w:rFonts w:ascii="Aptos Narrow" w:hAnsi="Aptos Narrow"/>
                <w:color w:val="000000"/>
                <w:sz w:val="22"/>
                <w:szCs w:val="22"/>
              </w:rPr>
              <w:t>0</w:t>
            </w:r>
          </w:p>
        </w:tc>
      </w:tr>
      <w:tr w:rsidR="00590BFE" w:rsidRPr="00E505AC" w14:paraId="4C3C489F" w14:textId="053F6C52"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7BABF0F6"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Kaitsealune maa</w:t>
            </w:r>
          </w:p>
        </w:tc>
        <w:tc>
          <w:tcPr>
            <w:tcW w:w="1049" w:type="dxa"/>
            <w:tcBorders>
              <w:top w:val="nil"/>
              <w:left w:val="nil"/>
              <w:bottom w:val="single" w:sz="4" w:space="0" w:color="auto"/>
              <w:right w:val="single" w:sz="4" w:space="0" w:color="auto"/>
            </w:tcBorders>
            <w:noWrap/>
            <w:vAlign w:val="bottom"/>
            <w:hideMark/>
          </w:tcPr>
          <w:p w14:paraId="0E481584"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6</w:t>
            </w:r>
          </w:p>
        </w:tc>
        <w:tc>
          <w:tcPr>
            <w:tcW w:w="1178" w:type="dxa"/>
            <w:tcBorders>
              <w:top w:val="nil"/>
              <w:left w:val="nil"/>
              <w:bottom w:val="single" w:sz="4" w:space="0" w:color="auto"/>
              <w:right w:val="single" w:sz="4" w:space="0" w:color="auto"/>
            </w:tcBorders>
            <w:noWrap/>
            <w:vAlign w:val="bottom"/>
            <w:hideMark/>
          </w:tcPr>
          <w:p w14:paraId="7E6E1E13"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266</w:t>
            </w:r>
          </w:p>
        </w:tc>
        <w:tc>
          <w:tcPr>
            <w:tcW w:w="1049" w:type="dxa"/>
            <w:tcBorders>
              <w:top w:val="nil"/>
              <w:left w:val="nil"/>
              <w:bottom w:val="single" w:sz="4" w:space="0" w:color="auto"/>
              <w:right w:val="single" w:sz="4" w:space="0" w:color="auto"/>
            </w:tcBorders>
            <w:noWrap/>
            <w:vAlign w:val="bottom"/>
            <w:hideMark/>
          </w:tcPr>
          <w:p w14:paraId="6184B6C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6</w:t>
            </w:r>
          </w:p>
        </w:tc>
        <w:tc>
          <w:tcPr>
            <w:tcW w:w="1307" w:type="dxa"/>
            <w:tcBorders>
              <w:top w:val="nil"/>
              <w:left w:val="nil"/>
              <w:bottom w:val="single" w:sz="4" w:space="0" w:color="auto"/>
              <w:right w:val="single" w:sz="4" w:space="0" w:color="auto"/>
            </w:tcBorders>
            <w:noWrap/>
            <w:vAlign w:val="bottom"/>
            <w:hideMark/>
          </w:tcPr>
          <w:p w14:paraId="3B652ED6"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266</w:t>
            </w:r>
          </w:p>
        </w:tc>
        <w:tc>
          <w:tcPr>
            <w:tcW w:w="820" w:type="dxa"/>
            <w:tcBorders>
              <w:top w:val="nil"/>
              <w:left w:val="nil"/>
              <w:bottom w:val="single" w:sz="4" w:space="0" w:color="auto"/>
              <w:right w:val="single" w:sz="4" w:space="0" w:color="auto"/>
            </w:tcBorders>
            <w:noWrap/>
            <w:vAlign w:val="bottom"/>
            <w:hideMark/>
          </w:tcPr>
          <w:p w14:paraId="33C29E36"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0</w:t>
            </w:r>
          </w:p>
        </w:tc>
        <w:tc>
          <w:tcPr>
            <w:tcW w:w="1134" w:type="dxa"/>
            <w:tcBorders>
              <w:top w:val="nil"/>
              <w:left w:val="nil"/>
              <w:bottom w:val="single" w:sz="4" w:space="0" w:color="auto"/>
              <w:right w:val="single" w:sz="4" w:space="0" w:color="auto"/>
            </w:tcBorders>
            <w:vAlign w:val="bottom"/>
          </w:tcPr>
          <w:p w14:paraId="1603CCE8" w14:textId="7C693809"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44,33</w:t>
            </w:r>
          </w:p>
        </w:tc>
        <w:tc>
          <w:tcPr>
            <w:tcW w:w="1134" w:type="dxa"/>
            <w:tcBorders>
              <w:top w:val="nil"/>
              <w:left w:val="nil"/>
              <w:bottom w:val="single" w:sz="4" w:space="0" w:color="auto"/>
              <w:right w:val="single" w:sz="4" w:space="0" w:color="auto"/>
            </w:tcBorders>
            <w:vAlign w:val="bottom"/>
          </w:tcPr>
          <w:p w14:paraId="6D2B488C" w14:textId="75242986"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0</w:t>
            </w:r>
            <w:r w:rsidR="00FF6E4B">
              <w:rPr>
                <w:rFonts w:ascii="Aptos Narrow" w:hAnsi="Aptos Narrow"/>
                <w:color w:val="000000"/>
                <w:sz w:val="22"/>
                <w:szCs w:val="22"/>
              </w:rPr>
              <w:t>,00</w:t>
            </w:r>
          </w:p>
        </w:tc>
      </w:tr>
      <w:tr w:rsidR="00590BFE" w:rsidRPr="00E505AC" w14:paraId="181FC087" w14:textId="308B1CFE"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3FBACEC8"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Maatulundusmaa (va õuemaa)</w:t>
            </w:r>
          </w:p>
        </w:tc>
        <w:tc>
          <w:tcPr>
            <w:tcW w:w="1049" w:type="dxa"/>
            <w:tcBorders>
              <w:top w:val="nil"/>
              <w:left w:val="nil"/>
              <w:bottom w:val="single" w:sz="4" w:space="0" w:color="auto"/>
              <w:right w:val="single" w:sz="4" w:space="0" w:color="auto"/>
            </w:tcBorders>
            <w:noWrap/>
            <w:vAlign w:val="bottom"/>
            <w:hideMark/>
          </w:tcPr>
          <w:p w14:paraId="7C9BB262"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3702</w:t>
            </w:r>
          </w:p>
        </w:tc>
        <w:tc>
          <w:tcPr>
            <w:tcW w:w="1178" w:type="dxa"/>
            <w:tcBorders>
              <w:top w:val="nil"/>
              <w:left w:val="nil"/>
              <w:bottom w:val="single" w:sz="4" w:space="0" w:color="auto"/>
              <w:right w:val="single" w:sz="4" w:space="0" w:color="auto"/>
            </w:tcBorders>
            <w:noWrap/>
            <w:vAlign w:val="bottom"/>
            <w:hideMark/>
          </w:tcPr>
          <w:p w14:paraId="7C1750BC"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123229</w:t>
            </w:r>
          </w:p>
        </w:tc>
        <w:tc>
          <w:tcPr>
            <w:tcW w:w="1049" w:type="dxa"/>
            <w:tcBorders>
              <w:top w:val="nil"/>
              <w:left w:val="nil"/>
              <w:bottom w:val="single" w:sz="4" w:space="0" w:color="auto"/>
              <w:right w:val="single" w:sz="4" w:space="0" w:color="auto"/>
            </w:tcBorders>
            <w:noWrap/>
            <w:vAlign w:val="bottom"/>
            <w:hideMark/>
          </w:tcPr>
          <w:p w14:paraId="2581354F"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4733</w:t>
            </w:r>
          </w:p>
        </w:tc>
        <w:tc>
          <w:tcPr>
            <w:tcW w:w="1307" w:type="dxa"/>
            <w:tcBorders>
              <w:top w:val="nil"/>
              <w:left w:val="nil"/>
              <w:bottom w:val="single" w:sz="4" w:space="0" w:color="auto"/>
              <w:right w:val="single" w:sz="4" w:space="0" w:color="auto"/>
            </w:tcBorders>
            <w:noWrap/>
            <w:vAlign w:val="bottom"/>
            <w:hideMark/>
          </w:tcPr>
          <w:p w14:paraId="68E6D8A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141752</w:t>
            </w:r>
          </w:p>
        </w:tc>
        <w:tc>
          <w:tcPr>
            <w:tcW w:w="820" w:type="dxa"/>
            <w:tcBorders>
              <w:top w:val="nil"/>
              <w:left w:val="nil"/>
              <w:bottom w:val="single" w:sz="4" w:space="0" w:color="auto"/>
              <w:right w:val="single" w:sz="4" w:space="0" w:color="auto"/>
            </w:tcBorders>
            <w:noWrap/>
            <w:vAlign w:val="bottom"/>
            <w:hideMark/>
          </w:tcPr>
          <w:p w14:paraId="7B12B7B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18523</w:t>
            </w:r>
          </w:p>
        </w:tc>
        <w:tc>
          <w:tcPr>
            <w:tcW w:w="1134" w:type="dxa"/>
            <w:tcBorders>
              <w:top w:val="nil"/>
              <w:left w:val="nil"/>
              <w:bottom w:val="single" w:sz="4" w:space="0" w:color="auto"/>
              <w:right w:val="single" w:sz="4" w:space="0" w:color="auto"/>
            </w:tcBorders>
            <w:vAlign w:val="bottom"/>
          </w:tcPr>
          <w:p w14:paraId="5402101E" w14:textId="3546C34B"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29,95</w:t>
            </w:r>
          </w:p>
        </w:tc>
        <w:tc>
          <w:tcPr>
            <w:tcW w:w="1134" w:type="dxa"/>
            <w:tcBorders>
              <w:top w:val="nil"/>
              <w:left w:val="nil"/>
              <w:bottom w:val="single" w:sz="4" w:space="0" w:color="auto"/>
              <w:right w:val="single" w:sz="4" w:space="0" w:color="auto"/>
            </w:tcBorders>
            <w:vAlign w:val="bottom"/>
          </w:tcPr>
          <w:p w14:paraId="63E4191C" w14:textId="036E1200"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3,91</w:t>
            </w:r>
          </w:p>
        </w:tc>
      </w:tr>
      <w:tr w:rsidR="00590BFE" w:rsidRPr="00E505AC" w14:paraId="460E1794" w14:textId="40A42309"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1529C00E"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Mäetööstusmaa</w:t>
            </w:r>
          </w:p>
        </w:tc>
        <w:tc>
          <w:tcPr>
            <w:tcW w:w="1049" w:type="dxa"/>
            <w:tcBorders>
              <w:top w:val="nil"/>
              <w:left w:val="nil"/>
              <w:bottom w:val="single" w:sz="4" w:space="0" w:color="auto"/>
              <w:right w:val="single" w:sz="4" w:space="0" w:color="auto"/>
            </w:tcBorders>
            <w:noWrap/>
            <w:vAlign w:val="bottom"/>
            <w:hideMark/>
          </w:tcPr>
          <w:p w14:paraId="7DB997B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w:t>
            </w:r>
          </w:p>
        </w:tc>
        <w:tc>
          <w:tcPr>
            <w:tcW w:w="1178" w:type="dxa"/>
            <w:tcBorders>
              <w:top w:val="nil"/>
              <w:left w:val="nil"/>
              <w:bottom w:val="single" w:sz="4" w:space="0" w:color="auto"/>
              <w:right w:val="single" w:sz="4" w:space="0" w:color="auto"/>
            </w:tcBorders>
            <w:noWrap/>
            <w:vAlign w:val="bottom"/>
            <w:hideMark/>
          </w:tcPr>
          <w:p w14:paraId="53FE8EB7"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576</w:t>
            </w:r>
          </w:p>
        </w:tc>
        <w:tc>
          <w:tcPr>
            <w:tcW w:w="1049" w:type="dxa"/>
            <w:tcBorders>
              <w:top w:val="nil"/>
              <w:left w:val="nil"/>
              <w:bottom w:val="single" w:sz="4" w:space="0" w:color="auto"/>
              <w:right w:val="single" w:sz="4" w:space="0" w:color="auto"/>
            </w:tcBorders>
            <w:noWrap/>
            <w:vAlign w:val="bottom"/>
            <w:hideMark/>
          </w:tcPr>
          <w:p w14:paraId="67B5DBB8"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w:t>
            </w:r>
          </w:p>
        </w:tc>
        <w:tc>
          <w:tcPr>
            <w:tcW w:w="1307" w:type="dxa"/>
            <w:tcBorders>
              <w:top w:val="nil"/>
              <w:left w:val="nil"/>
              <w:bottom w:val="single" w:sz="4" w:space="0" w:color="auto"/>
              <w:right w:val="single" w:sz="4" w:space="0" w:color="auto"/>
            </w:tcBorders>
            <w:noWrap/>
            <w:vAlign w:val="bottom"/>
            <w:hideMark/>
          </w:tcPr>
          <w:p w14:paraId="46BB087F"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581</w:t>
            </w:r>
          </w:p>
        </w:tc>
        <w:tc>
          <w:tcPr>
            <w:tcW w:w="820" w:type="dxa"/>
            <w:tcBorders>
              <w:top w:val="nil"/>
              <w:left w:val="nil"/>
              <w:bottom w:val="single" w:sz="4" w:space="0" w:color="auto"/>
              <w:right w:val="single" w:sz="4" w:space="0" w:color="auto"/>
            </w:tcBorders>
            <w:noWrap/>
            <w:vAlign w:val="bottom"/>
            <w:hideMark/>
          </w:tcPr>
          <w:p w14:paraId="1041C422"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5</w:t>
            </w:r>
          </w:p>
        </w:tc>
        <w:tc>
          <w:tcPr>
            <w:tcW w:w="1134" w:type="dxa"/>
            <w:tcBorders>
              <w:top w:val="nil"/>
              <w:left w:val="nil"/>
              <w:bottom w:val="single" w:sz="4" w:space="0" w:color="auto"/>
              <w:right w:val="single" w:sz="4" w:space="0" w:color="auto"/>
            </w:tcBorders>
            <w:vAlign w:val="bottom"/>
          </w:tcPr>
          <w:p w14:paraId="720B28C4" w14:textId="11D840AC"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193,67</w:t>
            </w:r>
          </w:p>
        </w:tc>
        <w:tc>
          <w:tcPr>
            <w:tcW w:w="1134" w:type="dxa"/>
            <w:tcBorders>
              <w:top w:val="nil"/>
              <w:left w:val="nil"/>
              <w:bottom w:val="single" w:sz="4" w:space="0" w:color="auto"/>
              <w:right w:val="single" w:sz="4" w:space="0" w:color="auto"/>
            </w:tcBorders>
            <w:vAlign w:val="bottom"/>
          </w:tcPr>
          <w:p w14:paraId="73E0DE44" w14:textId="30B538FB"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1,67</w:t>
            </w:r>
          </w:p>
        </w:tc>
      </w:tr>
      <w:tr w:rsidR="00590BFE" w:rsidRPr="00E505AC" w14:paraId="3B74964B" w14:textId="14BBDA48"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25AB70B1"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Riigikaitsemaa</w:t>
            </w:r>
          </w:p>
        </w:tc>
        <w:tc>
          <w:tcPr>
            <w:tcW w:w="1049" w:type="dxa"/>
            <w:tcBorders>
              <w:top w:val="nil"/>
              <w:left w:val="nil"/>
              <w:bottom w:val="single" w:sz="4" w:space="0" w:color="auto"/>
              <w:right w:val="single" w:sz="4" w:space="0" w:color="auto"/>
            </w:tcBorders>
            <w:noWrap/>
            <w:vAlign w:val="bottom"/>
            <w:hideMark/>
          </w:tcPr>
          <w:p w14:paraId="3D0F0DA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w:t>
            </w:r>
          </w:p>
        </w:tc>
        <w:tc>
          <w:tcPr>
            <w:tcW w:w="1178" w:type="dxa"/>
            <w:tcBorders>
              <w:top w:val="nil"/>
              <w:left w:val="nil"/>
              <w:bottom w:val="single" w:sz="4" w:space="0" w:color="auto"/>
              <w:right w:val="single" w:sz="4" w:space="0" w:color="auto"/>
            </w:tcBorders>
            <w:noWrap/>
            <w:vAlign w:val="bottom"/>
            <w:hideMark/>
          </w:tcPr>
          <w:p w14:paraId="058C2B06"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w:t>
            </w:r>
          </w:p>
        </w:tc>
        <w:tc>
          <w:tcPr>
            <w:tcW w:w="1049" w:type="dxa"/>
            <w:tcBorders>
              <w:top w:val="nil"/>
              <w:left w:val="nil"/>
              <w:bottom w:val="single" w:sz="4" w:space="0" w:color="auto"/>
              <w:right w:val="single" w:sz="4" w:space="0" w:color="auto"/>
            </w:tcBorders>
            <w:noWrap/>
            <w:vAlign w:val="bottom"/>
            <w:hideMark/>
          </w:tcPr>
          <w:p w14:paraId="6D5B26BF"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w:t>
            </w:r>
          </w:p>
        </w:tc>
        <w:tc>
          <w:tcPr>
            <w:tcW w:w="1307" w:type="dxa"/>
            <w:tcBorders>
              <w:top w:val="nil"/>
              <w:left w:val="nil"/>
              <w:bottom w:val="single" w:sz="4" w:space="0" w:color="auto"/>
              <w:right w:val="single" w:sz="4" w:space="0" w:color="auto"/>
            </w:tcBorders>
            <w:noWrap/>
            <w:vAlign w:val="bottom"/>
            <w:hideMark/>
          </w:tcPr>
          <w:p w14:paraId="5CEA559C"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w:t>
            </w:r>
          </w:p>
        </w:tc>
        <w:tc>
          <w:tcPr>
            <w:tcW w:w="820" w:type="dxa"/>
            <w:tcBorders>
              <w:top w:val="nil"/>
              <w:left w:val="nil"/>
              <w:bottom w:val="single" w:sz="4" w:space="0" w:color="auto"/>
              <w:right w:val="single" w:sz="4" w:space="0" w:color="auto"/>
            </w:tcBorders>
            <w:noWrap/>
            <w:vAlign w:val="bottom"/>
            <w:hideMark/>
          </w:tcPr>
          <w:p w14:paraId="24E334F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0</w:t>
            </w:r>
          </w:p>
        </w:tc>
        <w:tc>
          <w:tcPr>
            <w:tcW w:w="1134" w:type="dxa"/>
            <w:tcBorders>
              <w:top w:val="nil"/>
              <w:left w:val="nil"/>
              <w:bottom w:val="single" w:sz="4" w:space="0" w:color="auto"/>
              <w:right w:val="single" w:sz="4" w:space="0" w:color="auto"/>
            </w:tcBorders>
            <w:vAlign w:val="bottom"/>
          </w:tcPr>
          <w:p w14:paraId="5FBAB6FF" w14:textId="1A53CB36"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2,00</w:t>
            </w:r>
          </w:p>
        </w:tc>
        <w:tc>
          <w:tcPr>
            <w:tcW w:w="1134" w:type="dxa"/>
            <w:tcBorders>
              <w:top w:val="nil"/>
              <w:left w:val="nil"/>
              <w:bottom w:val="single" w:sz="4" w:space="0" w:color="auto"/>
              <w:right w:val="single" w:sz="4" w:space="0" w:color="auto"/>
            </w:tcBorders>
            <w:vAlign w:val="bottom"/>
          </w:tcPr>
          <w:p w14:paraId="05B1AE23" w14:textId="6D1FFA6C"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0</w:t>
            </w:r>
            <w:r w:rsidR="00FF6E4B">
              <w:rPr>
                <w:rFonts w:ascii="Aptos Narrow" w:hAnsi="Aptos Narrow"/>
                <w:color w:val="000000"/>
                <w:sz w:val="22"/>
                <w:szCs w:val="22"/>
              </w:rPr>
              <w:t>,00</w:t>
            </w:r>
          </w:p>
        </w:tc>
      </w:tr>
      <w:tr w:rsidR="00590BFE" w:rsidRPr="00E505AC" w14:paraId="7D85FB65" w14:textId="0C722E1D"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02B6808F"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Sihtotstarbeta maa</w:t>
            </w:r>
          </w:p>
        </w:tc>
        <w:tc>
          <w:tcPr>
            <w:tcW w:w="1049" w:type="dxa"/>
            <w:tcBorders>
              <w:top w:val="nil"/>
              <w:left w:val="nil"/>
              <w:bottom w:val="single" w:sz="4" w:space="0" w:color="auto"/>
              <w:right w:val="single" w:sz="4" w:space="0" w:color="auto"/>
            </w:tcBorders>
            <w:noWrap/>
            <w:vAlign w:val="bottom"/>
            <w:hideMark/>
          </w:tcPr>
          <w:p w14:paraId="2E6EA21A"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26</w:t>
            </w:r>
          </w:p>
        </w:tc>
        <w:tc>
          <w:tcPr>
            <w:tcW w:w="1178" w:type="dxa"/>
            <w:tcBorders>
              <w:top w:val="nil"/>
              <w:left w:val="nil"/>
              <w:bottom w:val="single" w:sz="4" w:space="0" w:color="auto"/>
              <w:right w:val="single" w:sz="4" w:space="0" w:color="auto"/>
            </w:tcBorders>
            <w:noWrap/>
            <w:vAlign w:val="bottom"/>
            <w:hideMark/>
          </w:tcPr>
          <w:p w14:paraId="654D831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177</w:t>
            </w:r>
          </w:p>
        </w:tc>
        <w:tc>
          <w:tcPr>
            <w:tcW w:w="1049" w:type="dxa"/>
            <w:tcBorders>
              <w:top w:val="nil"/>
              <w:left w:val="nil"/>
              <w:bottom w:val="single" w:sz="4" w:space="0" w:color="auto"/>
              <w:right w:val="single" w:sz="4" w:space="0" w:color="auto"/>
            </w:tcBorders>
            <w:noWrap/>
            <w:vAlign w:val="bottom"/>
            <w:hideMark/>
          </w:tcPr>
          <w:p w14:paraId="69AB947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6</w:t>
            </w:r>
          </w:p>
        </w:tc>
        <w:tc>
          <w:tcPr>
            <w:tcW w:w="1307" w:type="dxa"/>
            <w:tcBorders>
              <w:top w:val="nil"/>
              <w:left w:val="nil"/>
              <w:bottom w:val="single" w:sz="4" w:space="0" w:color="auto"/>
              <w:right w:val="single" w:sz="4" w:space="0" w:color="auto"/>
            </w:tcBorders>
            <w:noWrap/>
            <w:vAlign w:val="bottom"/>
            <w:hideMark/>
          </w:tcPr>
          <w:p w14:paraId="766BD4D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118</w:t>
            </w:r>
          </w:p>
        </w:tc>
        <w:tc>
          <w:tcPr>
            <w:tcW w:w="820" w:type="dxa"/>
            <w:tcBorders>
              <w:top w:val="nil"/>
              <w:left w:val="nil"/>
              <w:bottom w:val="single" w:sz="4" w:space="0" w:color="auto"/>
              <w:right w:val="single" w:sz="4" w:space="0" w:color="auto"/>
            </w:tcBorders>
            <w:noWrap/>
            <w:vAlign w:val="bottom"/>
            <w:hideMark/>
          </w:tcPr>
          <w:p w14:paraId="21D18271"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-59</w:t>
            </w:r>
          </w:p>
        </w:tc>
        <w:tc>
          <w:tcPr>
            <w:tcW w:w="1134" w:type="dxa"/>
            <w:tcBorders>
              <w:top w:val="nil"/>
              <w:left w:val="nil"/>
              <w:bottom w:val="single" w:sz="4" w:space="0" w:color="auto"/>
              <w:right w:val="single" w:sz="4" w:space="0" w:color="auto"/>
            </w:tcBorders>
            <w:vAlign w:val="bottom"/>
          </w:tcPr>
          <w:p w14:paraId="5FAC1157" w14:textId="0780345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19,67</w:t>
            </w:r>
          </w:p>
        </w:tc>
        <w:tc>
          <w:tcPr>
            <w:tcW w:w="1134" w:type="dxa"/>
            <w:tcBorders>
              <w:top w:val="nil"/>
              <w:left w:val="nil"/>
              <w:bottom w:val="single" w:sz="4" w:space="0" w:color="auto"/>
              <w:right w:val="single" w:sz="4" w:space="0" w:color="auto"/>
            </w:tcBorders>
            <w:vAlign w:val="bottom"/>
          </w:tcPr>
          <w:p w14:paraId="135FC742" w14:textId="7F69F2D0"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-9,83</w:t>
            </w:r>
          </w:p>
        </w:tc>
      </w:tr>
      <w:tr w:rsidR="00590BFE" w:rsidRPr="00E505AC" w14:paraId="357FBF9D" w14:textId="5C6BF5B5"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180A436F"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Tootmismaa</w:t>
            </w:r>
          </w:p>
        </w:tc>
        <w:tc>
          <w:tcPr>
            <w:tcW w:w="1049" w:type="dxa"/>
            <w:tcBorders>
              <w:top w:val="nil"/>
              <w:left w:val="nil"/>
              <w:bottom w:val="single" w:sz="4" w:space="0" w:color="auto"/>
              <w:right w:val="single" w:sz="4" w:space="0" w:color="auto"/>
            </w:tcBorders>
            <w:noWrap/>
            <w:vAlign w:val="bottom"/>
            <w:hideMark/>
          </w:tcPr>
          <w:p w14:paraId="5CC9C8F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190</w:t>
            </w:r>
          </w:p>
        </w:tc>
        <w:tc>
          <w:tcPr>
            <w:tcW w:w="1178" w:type="dxa"/>
            <w:tcBorders>
              <w:top w:val="nil"/>
              <w:left w:val="nil"/>
              <w:bottom w:val="single" w:sz="4" w:space="0" w:color="auto"/>
              <w:right w:val="single" w:sz="4" w:space="0" w:color="auto"/>
            </w:tcBorders>
            <w:noWrap/>
            <w:vAlign w:val="bottom"/>
            <w:hideMark/>
          </w:tcPr>
          <w:p w14:paraId="442FD585"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43495</w:t>
            </w:r>
          </w:p>
        </w:tc>
        <w:tc>
          <w:tcPr>
            <w:tcW w:w="1049" w:type="dxa"/>
            <w:tcBorders>
              <w:top w:val="nil"/>
              <w:left w:val="nil"/>
              <w:bottom w:val="single" w:sz="4" w:space="0" w:color="auto"/>
              <w:right w:val="single" w:sz="4" w:space="0" w:color="auto"/>
            </w:tcBorders>
            <w:noWrap/>
            <w:vAlign w:val="bottom"/>
            <w:hideMark/>
          </w:tcPr>
          <w:p w14:paraId="7A1F19B8"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197</w:t>
            </w:r>
          </w:p>
        </w:tc>
        <w:tc>
          <w:tcPr>
            <w:tcW w:w="1307" w:type="dxa"/>
            <w:tcBorders>
              <w:top w:val="nil"/>
              <w:left w:val="nil"/>
              <w:bottom w:val="single" w:sz="4" w:space="0" w:color="auto"/>
              <w:right w:val="single" w:sz="4" w:space="0" w:color="auto"/>
            </w:tcBorders>
            <w:noWrap/>
            <w:vAlign w:val="bottom"/>
            <w:hideMark/>
          </w:tcPr>
          <w:p w14:paraId="162A8FD9"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48576</w:t>
            </w:r>
          </w:p>
        </w:tc>
        <w:tc>
          <w:tcPr>
            <w:tcW w:w="820" w:type="dxa"/>
            <w:tcBorders>
              <w:top w:val="nil"/>
              <w:left w:val="nil"/>
              <w:bottom w:val="single" w:sz="4" w:space="0" w:color="auto"/>
              <w:right w:val="single" w:sz="4" w:space="0" w:color="auto"/>
            </w:tcBorders>
            <w:noWrap/>
            <w:vAlign w:val="bottom"/>
            <w:hideMark/>
          </w:tcPr>
          <w:p w14:paraId="79DD2FC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5081</w:t>
            </w:r>
          </w:p>
        </w:tc>
        <w:tc>
          <w:tcPr>
            <w:tcW w:w="1134" w:type="dxa"/>
            <w:tcBorders>
              <w:top w:val="nil"/>
              <w:left w:val="nil"/>
              <w:bottom w:val="single" w:sz="4" w:space="0" w:color="auto"/>
              <w:right w:val="single" w:sz="4" w:space="0" w:color="auto"/>
            </w:tcBorders>
            <w:vAlign w:val="bottom"/>
          </w:tcPr>
          <w:p w14:paraId="23E8B40A" w14:textId="1B8FF3C9"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246,58</w:t>
            </w:r>
          </w:p>
        </w:tc>
        <w:tc>
          <w:tcPr>
            <w:tcW w:w="1134" w:type="dxa"/>
            <w:tcBorders>
              <w:top w:val="nil"/>
              <w:left w:val="nil"/>
              <w:bottom w:val="single" w:sz="4" w:space="0" w:color="auto"/>
              <w:right w:val="single" w:sz="4" w:space="0" w:color="auto"/>
            </w:tcBorders>
            <w:vAlign w:val="bottom"/>
          </w:tcPr>
          <w:p w14:paraId="34BE0C94" w14:textId="7F00FFC2"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25,79</w:t>
            </w:r>
          </w:p>
        </w:tc>
      </w:tr>
      <w:tr w:rsidR="00590BFE" w:rsidRPr="00E505AC" w14:paraId="6B79515B" w14:textId="79F54BD9"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00E6B27F"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Transpordimaa</w:t>
            </w:r>
          </w:p>
        </w:tc>
        <w:tc>
          <w:tcPr>
            <w:tcW w:w="1049" w:type="dxa"/>
            <w:tcBorders>
              <w:top w:val="nil"/>
              <w:left w:val="nil"/>
              <w:bottom w:val="single" w:sz="4" w:space="0" w:color="auto"/>
              <w:right w:val="single" w:sz="4" w:space="0" w:color="auto"/>
            </w:tcBorders>
            <w:noWrap/>
            <w:vAlign w:val="bottom"/>
            <w:hideMark/>
          </w:tcPr>
          <w:p w14:paraId="2D5A580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207</w:t>
            </w:r>
          </w:p>
        </w:tc>
        <w:tc>
          <w:tcPr>
            <w:tcW w:w="1178" w:type="dxa"/>
            <w:tcBorders>
              <w:top w:val="nil"/>
              <w:left w:val="nil"/>
              <w:bottom w:val="single" w:sz="4" w:space="0" w:color="auto"/>
              <w:right w:val="single" w:sz="4" w:space="0" w:color="auto"/>
            </w:tcBorders>
            <w:noWrap/>
            <w:vAlign w:val="bottom"/>
            <w:hideMark/>
          </w:tcPr>
          <w:p w14:paraId="7DF0C11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1830</w:t>
            </w:r>
          </w:p>
        </w:tc>
        <w:tc>
          <w:tcPr>
            <w:tcW w:w="1049" w:type="dxa"/>
            <w:tcBorders>
              <w:top w:val="nil"/>
              <w:left w:val="nil"/>
              <w:bottom w:val="single" w:sz="4" w:space="0" w:color="auto"/>
              <w:right w:val="single" w:sz="4" w:space="0" w:color="auto"/>
            </w:tcBorders>
            <w:noWrap/>
            <w:vAlign w:val="bottom"/>
            <w:hideMark/>
          </w:tcPr>
          <w:p w14:paraId="182D6B70"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210</w:t>
            </w:r>
          </w:p>
        </w:tc>
        <w:tc>
          <w:tcPr>
            <w:tcW w:w="1307" w:type="dxa"/>
            <w:tcBorders>
              <w:top w:val="nil"/>
              <w:left w:val="nil"/>
              <w:bottom w:val="single" w:sz="4" w:space="0" w:color="auto"/>
              <w:right w:val="single" w:sz="4" w:space="0" w:color="auto"/>
            </w:tcBorders>
            <w:noWrap/>
            <w:vAlign w:val="bottom"/>
            <w:hideMark/>
          </w:tcPr>
          <w:p w14:paraId="217F6727"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2380</w:t>
            </w:r>
          </w:p>
        </w:tc>
        <w:tc>
          <w:tcPr>
            <w:tcW w:w="820" w:type="dxa"/>
            <w:tcBorders>
              <w:top w:val="nil"/>
              <w:left w:val="nil"/>
              <w:bottom w:val="single" w:sz="4" w:space="0" w:color="auto"/>
              <w:right w:val="single" w:sz="4" w:space="0" w:color="auto"/>
            </w:tcBorders>
            <w:noWrap/>
            <w:vAlign w:val="bottom"/>
            <w:hideMark/>
          </w:tcPr>
          <w:p w14:paraId="2FA5173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550</w:t>
            </w:r>
          </w:p>
        </w:tc>
        <w:tc>
          <w:tcPr>
            <w:tcW w:w="1134" w:type="dxa"/>
            <w:tcBorders>
              <w:top w:val="nil"/>
              <w:left w:val="nil"/>
              <w:bottom w:val="single" w:sz="4" w:space="0" w:color="auto"/>
              <w:right w:val="single" w:sz="4" w:space="0" w:color="auto"/>
            </w:tcBorders>
            <w:vAlign w:val="bottom"/>
          </w:tcPr>
          <w:p w14:paraId="5A6F84C6" w14:textId="0F7D09D3"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11,33</w:t>
            </w:r>
          </w:p>
        </w:tc>
        <w:tc>
          <w:tcPr>
            <w:tcW w:w="1134" w:type="dxa"/>
            <w:tcBorders>
              <w:top w:val="nil"/>
              <w:left w:val="nil"/>
              <w:bottom w:val="single" w:sz="4" w:space="0" w:color="auto"/>
              <w:right w:val="single" w:sz="4" w:space="0" w:color="auto"/>
            </w:tcBorders>
            <w:vAlign w:val="bottom"/>
          </w:tcPr>
          <w:p w14:paraId="526BCBFA" w14:textId="6ED5D28E"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2,6</w:t>
            </w:r>
            <w:r w:rsidR="00FF6E4B">
              <w:rPr>
                <w:rFonts w:ascii="Aptos Narrow" w:hAnsi="Aptos Narrow"/>
                <w:color w:val="000000"/>
                <w:sz w:val="22"/>
                <w:szCs w:val="22"/>
              </w:rPr>
              <w:t>2</w:t>
            </w:r>
          </w:p>
        </w:tc>
      </w:tr>
      <w:tr w:rsidR="00590BFE" w:rsidRPr="00E505AC" w14:paraId="351C9440" w14:textId="0C7D1150"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2832F3DD"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Turbatööstusmaa</w:t>
            </w:r>
          </w:p>
        </w:tc>
        <w:tc>
          <w:tcPr>
            <w:tcW w:w="1049" w:type="dxa"/>
            <w:tcBorders>
              <w:top w:val="nil"/>
              <w:left w:val="nil"/>
              <w:bottom w:val="single" w:sz="4" w:space="0" w:color="auto"/>
              <w:right w:val="single" w:sz="4" w:space="0" w:color="auto"/>
            </w:tcBorders>
            <w:noWrap/>
            <w:vAlign w:val="bottom"/>
            <w:hideMark/>
          </w:tcPr>
          <w:p w14:paraId="45C23D07"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w:t>
            </w:r>
          </w:p>
        </w:tc>
        <w:tc>
          <w:tcPr>
            <w:tcW w:w="1178" w:type="dxa"/>
            <w:tcBorders>
              <w:top w:val="nil"/>
              <w:left w:val="nil"/>
              <w:bottom w:val="single" w:sz="4" w:space="0" w:color="auto"/>
              <w:right w:val="single" w:sz="4" w:space="0" w:color="auto"/>
            </w:tcBorders>
            <w:noWrap/>
            <w:vAlign w:val="bottom"/>
            <w:hideMark/>
          </w:tcPr>
          <w:p w14:paraId="47AC03E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939</w:t>
            </w:r>
          </w:p>
        </w:tc>
        <w:tc>
          <w:tcPr>
            <w:tcW w:w="1049" w:type="dxa"/>
            <w:tcBorders>
              <w:top w:val="nil"/>
              <w:left w:val="nil"/>
              <w:bottom w:val="single" w:sz="4" w:space="0" w:color="auto"/>
              <w:right w:val="single" w:sz="4" w:space="0" w:color="auto"/>
            </w:tcBorders>
            <w:noWrap/>
            <w:vAlign w:val="bottom"/>
            <w:hideMark/>
          </w:tcPr>
          <w:p w14:paraId="2D1F2810"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2</w:t>
            </w:r>
          </w:p>
        </w:tc>
        <w:tc>
          <w:tcPr>
            <w:tcW w:w="1307" w:type="dxa"/>
            <w:tcBorders>
              <w:top w:val="nil"/>
              <w:left w:val="nil"/>
              <w:bottom w:val="single" w:sz="4" w:space="0" w:color="auto"/>
              <w:right w:val="single" w:sz="4" w:space="0" w:color="auto"/>
            </w:tcBorders>
            <w:noWrap/>
            <w:vAlign w:val="bottom"/>
            <w:hideMark/>
          </w:tcPr>
          <w:p w14:paraId="1F50B18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1330</w:t>
            </w:r>
          </w:p>
        </w:tc>
        <w:tc>
          <w:tcPr>
            <w:tcW w:w="820" w:type="dxa"/>
            <w:tcBorders>
              <w:top w:val="nil"/>
              <w:left w:val="nil"/>
              <w:bottom w:val="single" w:sz="4" w:space="0" w:color="auto"/>
              <w:right w:val="single" w:sz="4" w:space="0" w:color="auto"/>
            </w:tcBorders>
            <w:noWrap/>
            <w:vAlign w:val="bottom"/>
            <w:hideMark/>
          </w:tcPr>
          <w:p w14:paraId="75B8297D"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391</w:t>
            </w:r>
          </w:p>
        </w:tc>
        <w:tc>
          <w:tcPr>
            <w:tcW w:w="1134" w:type="dxa"/>
            <w:tcBorders>
              <w:top w:val="nil"/>
              <w:left w:val="nil"/>
              <w:bottom w:val="single" w:sz="4" w:space="0" w:color="auto"/>
              <w:right w:val="single" w:sz="4" w:space="0" w:color="auto"/>
            </w:tcBorders>
            <w:vAlign w:val="bottom"/>
          </w:tcPr>
          <w:p w14:paraId="1FB5BA31" w14:textId="3FAF8D12"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665,00</w:t>
            </w:r>
          </w:p>
        </w:tc>
        <w:tc>
          <w:tcPr>
            <w:tcW w:w="1134" w:type="dxa"/>
            <w:tcBorders>
              <w:top w:val="nil"/>
              <w:left w:val="nil"/>
              <w:bottom w:val="single" w:sz="4" w:space="0" w:color="auto"/>
              <w:right w:val="single" w:sz="4" w:space="0" w:color="auto"/>
            </w:tcBorders>
            <w:vAlign w:val="bottom"/>
          </w:tcPr>
          <w:p w14:paraId="350DD539" w14:textId="1BFB93F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195,5</w:t>
            </w:r>
            <w:r w:rsidR="00FF6E4B">
              <w:rPr>
                <w:rFonts w:ascii="Aptos Narrow" w:hAnsi="Aptos Narrow"/>
                <w:color w:val="000000"/>
                <w:sz w:val="22"/>
                <w:szCs w:val="22"/>
              </w:rPr>
              <w:t>0</w:t>
            </w:r>
          </w:p>
        </w:tc>
      </w:tr>
      <w:tr w:rsidR="00590BFE" w:rsidRPr="00E505AC" w14:paraId="16B52990" w14:textId="6EB9B728"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24702E33" w14:textId="77777777" w:rsidR="00590BFE" w:rsidRPr="00E505AC" w:rsidRDefault="00590BFE" w:rsidP="00590BFE">
            <w:pPr>
              <w:suppressAutoHyphens w:val="0"/>
              <w:autoSpaceDN/>
              <w:spacing w:after="0" w:line="240" w:lineRule="auto"/>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Veekogude maa</w:t>
            </w:r>
          </w:p>
        </w:tc>
        <w:tc>
          <w:tcPr>
            <w:tcW w:w="1049" w:type="dxa"/>
            <w:tcBorders>
              <w:top w:val="nil"/>
              <w:left w:val="nil"/>
              <w:bottom w:val="single" w:sz="4" w:space="0" w:color="auto"/>
              <w:right w:val="single" w:sz="4" w:space="0" w:color="auto"/>
            </w:tcBorders>
            <w:noWrap/>
            <w:vAlign w:val="bottom"/>
            <w:hideMark/>
          </w:tcPr>
          <w:p w14:paraId="7EA910EC"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w:t>
            </w:r>
          </w:p>
        </w:tc>
        <w:tc>
          <w:tcPr>
            <w:tcW w:w="1178" w:type="dxa"/>
            <w:tcBorders>
              <w:top w:val="nil"/>
              <w:left w:val="nil"/>
              <w:bottom w:val="single" w:sz="4" w:space="0" w:color="auto"/>
              <w:right w:val="single" w:sz="4" w:space="0" w:color="auto"/>
            </w:tcBorders>
            <w:noWrap/>
            <w:vAlign w:val="bottom"/>
            <w:hideMark/>
          </w:tcPr>
          <w:p w14:paraId="36FB28FE"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476</w:t>
            </w:r>
          </w:p>
        </w:tc>
        <w:tc>
          <w:tcPr>
            <w:tcW w:w="1049" w:type="dxa"/>
            <w:tcBorders>
              <w:top w:val="nil"/>
              <w:left w:val="nil"/>
              <w:bottom w:val="single" w:sz="4" w:space="0" w:color="auto"/>
              <w:right w:val="single" w:sz="4" w:space="0" w:color="auto"/>
            </w:tcBorders>
            <w:noWrap/>
            <w:vAlign w:val="bottom"/>
            <w:hideMark/>
          </w:tcPr>
          <w:p w14:paraId="5C606A78"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4</w:t>
            </w:r>
          </w:p>
        </w:tc>
        <w:tc>
          <w:tcPr>
            <w:tcW w:w="1307" w:type="dxa"/>
            <w:tcBorders>
              <w:top w:val="nil"/>
              <w:left w:val="nil"/>
              <w:bottom w:val="single" w:sz="4" w:space="0" w:color="auto"/>
              <w:right w:val="single" w:sz="4" w:space="0" w:color="auto"/>
            </w:tcBorders>
            <w:noWrap/>
            <w:vAlign w:val="bottom"/>
            <w:hideMark/>
          </w:tcPr>
          <w:p w14:paraId="79E16165"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597</w:t>
            </w:r>
          </w:p>
        </w:tc>
        <w:tc>
          <w:tcPr>
            <w:tcW w:w="820" w:type="dxa"/>
            <w:tcBorders>
              <w:top w:val="nil"/>
              <w:left w:val="nil"/>
              <w:bottom w:val="single" w:sz="4" w:space="0" w:color="auto"/>
              <w:right w:val="single" w:sz="4" w:space="0" w:color="auto"/>
            </w:tcBorders>
            <w:noWrap/>
            <w:vAlign w:val="bottom"/>
            <w:hideMark/>
          </w:tcPr>
          <w:p w14:paraId="56625DCB" w14:textId="77777777"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sidRPr="00E505AC">
              <w:rPr>
                <w:rFonts w:ascii="Times New Roman" w:eastAsia="Times New Roman" w:hAnsi="Times New Roman"/>
                <w:color w:val="000000" w:themeColor="text1"/>
                <w:kern w:val="0"/>
                <w:sz w:val="22"/>
                <w:szCs w:val="22"/>
                <w:lang w:eastAsia="et-EE"/>
              </w:rPr>
              <w:t>121</w:t>
            </w:r>
          </w:p>
        </w:tc>
        <w:tc>
          <w:tcPr>
            <w:tcW w:w="1134" w:type="dxa"/>
            <w:tcBorders>
              <w:top w:val="nil"/>
              <w:left w:val="nil"/>
              <w:bottom w:val="single" w:sz="4" w:space="0" w:color="auto"/>
              <w:right w:val="single" w:sz="4" w:space="0" w:color="auto"/>
            </w:tcBorders>
            <w:vAlign w:val="bottom"/>
          </w:tcPr>
          <w:p w14:paraId="4366D9EC" w14:textId="0FA592D3"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149,25</w:t>
            </w:r>
          </w:p>
        </w:tc>
        <w:tc>
          <w:tcPr>
            <w:tcW w:w="1134" w:type="dxa"/>
            <w:tcBorders>
              <w:top w:val="nil"/>
              <w:left w:val="nil"/>
              <w:bottom w:val="single" w:sz="4" w:space="0" w:color="auto"/>
              <w:right w:val="single" w:sz="4" w:space="0" w:color="auto"/>
            </w:tcBorders>
            <w:vAlign w:val="bottom"/>
          </w:tcPr>
          <w:p w14:paraId="65B4765C" w14:textId="5DFE61D2" w:rsidR="00590BFE" w:rsidRPr="00E505AC" w:rsidRDefault="00590BFE" w:rsidP="00590BFE">
            <w:pPr>
              <w:suppressAutoHyphens w:val="0"/>
              <w:autoSpaceDN/>
              <w:spacing w:after="0" w:line="240" w:lineRule="auto"/>
              <w:jc w:val="right"/>
              <w:textAlignment w:val="auto"/>
              <w:rPr>
                <w:rFonts w:ascii="Times New Roman" w:eastAsia="Times New Roman" w:hAnsi="Times New Roman"/>
                <w:color w:val="000000" w:themeColor="text1"/>
                <w:kern w:val="0"/>
                <w:sz w:val="22"/>
                <w:szCs w:val="22"/>
                <w:lang w:eastAsia="et-EE"/>
              </w:rPr>
            </w:pPr>
            <w:r>
              <w:rPr>
                <w:rFonts w:ascii="Aptos Narrow" w:hAnsi="Aptos Narrow"/>
                <w:color w:val="000000"/>
                <w:sz w:val="22"/>
                <w:szCs w:val="22"/>
              </w:rPr>
              <w:t>30,25</w:t>
            </w:r>
          </w:p>
        </w:tc>
      </w:tr>
      <w:tr w:rsidR="00590BFE" w:rsidRPr="00E505AC" w14:paraId="639C56EB" w14:textId="572D98F0" w:rsidTr="00CE7641">
        <w:trPr>
          <w:trHeight w:val="290"/>
        </w:trPr>
        <w:tc>
          <w:tcPr>
            <w:tcW w:w="1822" w:type="dxa"/>
            <w:tcBorders>
              <w:top w:val="nil"/>
              <w:left w:val="single" w:sz="4" w:space="0" w:color="auto"/>
              <w:bottom w:val="single" w:sz="4" w:space="0" w:color="auto"/>
              <w:right w:val="single" w:sz="4" w:space="0" w:color="auto"/>
            </w:tcBorders>
            <w:noWrap/>
            <w:vAlign w:val="bottom"/>
            <w:hideMark/>
          </w:tcPr>
          <w:p w14:paraId="3F08339B" w14:textId="77777777" w:rsidR="00590BFE" w:rsidRPr="00E505AC" w:rsidRDefault="00590BFE" w:rsidP="00BC5A29">
            <w:pPr>
              <w:suppressAutoHyphens w:val="0"/>
              <w:autoSpaceDN/>
              <w:spacing w:after="0" w:line="240" w:lineRule="auto"/>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Kokku:</w:t>
            </w:r>
          </w:p>
        </w:tc>
        <w:tc>
          <w:tcPr>
            <w:tcW w:w="1049" w:type="dxa"/>
            <w:tcBorders>
              <w:top w:val="nil"/>
              <w:left w:val="nil"/>
              <w:bottom w:val="single" w:sz="4" w:space="0" w:color="auto"/>
              <w:right w:val="single" w:sz="4" w:space="0" w:color="auto"/>
            </w:tcBorders>
            <w:noWrap/>
            <w:vAlign w:val="bottom"/>
            <w:hideMark/>
          </w:tcPr>
          <w:p w14:paraId="38B0A749" w14:textId="77777777" w:rsidR="00590BFE" w:rsidRPr="00E505AC" w:rsidRDefault="00590BFE" w:rsidP="00BC5A29">
            <w:pPr>
              <w:suppressAutoHyphens w:val="0"/>
              <w:autoSpaceDN/>
              <w:spacing w:after="0" w:line="240" w:lineRule="auto"/>
              <w:jc w:val="right"/>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8826</w:t>
            </w:r>
          </w:p>
        </w:tc>
        <w:tc>
          <w:tcPr>
            <w:tcW w:w="1178" w:type="dxa"/>
            <w:tcBorders>
              <w:top w:val="nil"/>
              <w:left w:val="nil"/>
              <w:bottom w:val="single" w:sz="4" w:space="0" w:color="auto"/>
              <w:right w:val="single" w:sz="4" w:space="0" w:color="auto"/>
            </w:tcBorders>
            <w:noWrap/>
            <w:vAlign w:val="bottom"/>
            <w:hideMark/>
          </w:tcPr>
          <w:p w14:paraId="6C0E7D86" w14:textId="77777777" w:rsidR="00590BFE" w:rsidRPr="00E505AC" w:rsidRDefault="00590BFE" w:rsidP="00BC5A29">
            <w:pPr>
              <w:suppressAutoHyphens w:val="0"/>
              <w:autoSpaceDN/>
              <w:spacing w:after="0" w:line="240" w:lineRule="auto"/>
              <w:jc w:val="right"/>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299184</w:t>
            </w:r>
          </w:p>
        </w:tc>
        <w:tc>
          <w:tcPr>
            <w:tcW w:w="1049" w:type="dxa"/>
            <w:tcBorders>
              <w:top w:val="nil"/>
              <w:left w:val="nil"/>
              <w:bottom w:val="single" w:sz="4" w:space="0" w:color="auto"/>
              <w:right w:val="single" w:sz="4" w:space="0" w:color="auto"/>
            </w:tcBorders>
            <w:noWrap/>
            <w:vAlign w:val="bottom"/>
            <w:hideMark/>
          </w:tcPr>
          <w:p w14:paraId="02F26E00" w14:textId="77777777" w:rsidR="00590BFE" w:rsidRPr="00E505AC" w:rsidRDefault="00590BFE" w:rsidP="00BC5A29">
            <w:pPr>
              <w:suppressAutoHyphens w:val="0"/>
              <w:autoSpaceDN/>
              <w:spacing w:after="0" w:line="240" w:lineRule="auto"/>
              <w:jc w:val="right"/>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9881</w:t>
            </w:r>
          </w:p>
        </w:tc>
        <w:tc>
          <w:tcPr>
            <w:tcW w:w="1307" w:type="dxa"/>
            <w:tcBorders>
              <w:top w:val="nil"/>
              <w:left w:val="nil"/>
              <w:bottom w:val="single" w:sz="4" w:space="0" w:color="auto"/>
              <w:right w:val="single" w:sz="4" w:space="0" w:color="auto"/>
            </w:tcBorders>
            <w:noWrap/>
            <w:vAlign w:val="bottom"/>
            <w:hideMark/>
          </w:tcPr>
          <w:p w14:paraId="2972B444" w14:textId="77777777" w:rsidR="00590BFE" w:rsidRPr="00E505AC" w:rsidRDefault="00590BFE" w:rsidP="00BC5A29">
            <w:pPr>
              <w:suppressAutoHyphens w:val="0"/>
              <w:autoSpaceDN/>
              <w:spacing w:after="0" w:line="240" w:lineRule="auto"/>
              <w:jc w:val="right"/>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343494</w:t>
            </w:r>
          </w:p>
        </w:tc>
        <w:tc>
          <w:tcPr>
            <w:tcW w:w="820" w:type="dxa"/>
            <w:tcBorders>
              <w:top w:val="nil"/>
              <w:left w:val="nil"/>
              <w:bottom w:val="single" w:sz="4" w:space="0" w:color="auto"/>
              <w:right w:val="single" w:sz="4" w:space="0" w:color="auto"/>
            </w:tcBorders>
            <w:noWrap/>
            <w:vAlign w:val="bottom"/>
            <w:hideMark/>
          </w:tcPr>
          <w:p w14:paraId="307A6C5F" w14:textId="77777777" w:rsidR="00590BFE" w:rsidRPr="00E505AC" w:rsidRDefault="00590BFE" w:rsidP="00BC5A29">
            <w:pPr>
              <w:suppressAutoHyphens w:val="0"/>
              <w:autoSpaceDN/>
              <w:spacing w:after="0" w:line="240" w:lineRule="auto"/>
              <w:jc w:val="right"/>
              <w:textAlignment w:val="auto"/>
              <w:rPr>
                <w:rFonts w:ascii="Times New Roman" w:eastAsia="Times New Roman" w:hAnsi="Times New Roman"/>
                <w:b/>
                <w:bCs/>
                <w:color w:val="000000" w:themeColor="text1"/>
                <w:kern w:val="0"/>
                <w:sz w:val="22"/>
                <w:szCs w:val="22"/>
                <w:lang w:eastAsia="et-EE"/>
              </w:rPr>
            </w:pPr>
            <w:r w:rsidRPr="00E505AC">
              <w:rPr>
                <w:rFonts w:ascii="Times New Roman" w:eastAsia="Times New Roman" w:hAnsi="Times New Roman"/>
                <w:b/>
                <w:bCs/>
                <w:color w:val="000000" w:themeColor="text1"/>
                <w:kern w:val="0"/>
                <w:sz w:val="22"/>
                <w:szCs w:val="22"/>
                <w:lang w:eastAsia="et-EE"/>
              </w:rPr>
              <w:t>44310</w:t>
            </w:r>
          </w:p>
        </w:tc>
        <w:tc>
          <w:tcPr>
            <w:tcW w:w="1134" w:type="dxa"/>
            <w:tcBorders>
              <w:top w:val="nil"/>
              <w:left w:val="nil"/>
              <w:bottom w:val="single" w:sz="4" w:space="0" w:color="auto"/>
              <w:right w:val="single" w:sz="4" w:space="0" w:color="auto"/>
            </w:tcBorders>
          </w:tcPr>
          <w:p w14:paraId="64087D9C" w14:textId="77777777" w:rsidR="00590BFE" w:rsidRPr="00E505AC" w:rsidRDefault="00590BFE" w:rsidP="00BC5A29">
            <w:pPr>
              <w:suppressAutoHyphens w:val="0"/>
              <w:autoSpaceDN/>
              <w:spacing w:after="0" w:line="240" w:lineRule="auto"/>
              <w:jc w:val="right"/>
              <w:textAlignment w:val="auto"/>
              <w:rPr>
                <w:rFonts w:ascii="Times New Roman" w:eastAsia="Times New Roman" w:hAnsi="Times New Roman"/>
                <w:b/>
                <w:bCs/>
                <w:color w:val="000000" w:themeColor="text1"/>
                <w:kern w:val="0"/>
                <w:sz w:val="22"/>
                <w:szCs w:val="22"/>
                <w:lang w:eastAsia="et-EE"/>
              </w:rPr>
            </w:pPr>
          </w:p>
        </w:tc>
        <w:tc>
          <w:tcPr>
            <w:tcW w:w="1134" w:type="dxa"/>
            <w:tcBorders>
              <w:top w:val="nil"/>
              <w:left w:val="nil"/>
              <w:bottom w:val="single" w:sz="4" w:space="0" w:color="auto"/>
              <w:right w:val="single" w:sz="4" w:space="0" w:color="auto"/>
            </w:tcBorders>
          </w:tcPr>
          <w:p w14:paraId="0B511026" w14:textId="77777777" w:rsidR="00590BFE" w:rsidRPr="00E505AC" w:rsidRDefault="00590BFE" w:rsidP="00BC5A29">
            <w:pPr>
              <w:suppressAutoHyphens w:val="0"/>
              <w:autoSpaceDN/>
              <w:spacing w:after="0" w:line="240" w:lineRule="auto"/>
              <w:jc w:val="right"/>
              <w:textAlignment w:val="auto"/>
              <w:rPr>
                <w:rFonts w:ascii="Times New Roman" w:eastAsia="Times New Roman" w:hAnsi="Times New Roman"/>
                <w:b/>
                <w:bCs/>
                <w:color w:val="000000" w:themeColor="text1"/>
                <w:kern w:val="0"/>
                <w:sz w:val="22"/>
                <w:szCs w:val="22"/>
                <w:lang w:eastAsia="et-EE"/>
              </w:rPr>
            </w:pPr>
          </w:p>
        </w:tc>
      </w:tr>
    </w:tbl>
    <w:p w14:paraId="058B749F" w14:textId="77777777" w:rsidR="00094BC0" w:rsidRPr="00E505AC" w:rsidRDefault="00094BC0">
      <w:pPr>
        <w:spacing w:after="0" w:line="240" w:lineRule="auto"/>
        <w:jc w:val="both"/>
        <w:rPr>
          <w:rFonts w:ascii="Times New Roman" w:hAnsi="Times New Roman"/>
          <w:color w:val="000000" w:themeColor="text1"/>
        </w:rPr>
      </w:pPr>
    </w:p>
    <w:p w14:paraId="3A2CC9FB" w14:textId="77777777" w:rsidR="00F24F53" w:rsidRPr="00BC5A29" w:rsidRDefault="00F24F53">
      <w:pPr>
        <w:spacing w:after="0" w:line="240" w:lineRule="auto"/>
        <w:jc w:val="both"/>
        <w:rPr>
          <w:rFonts w:ascii="Times New Roman" w:hAnsi="Times New Roman"/>
          <w:color w:val="000000" w:themeColor="text1"/>
        </w:rPr>
      </w:pPr>
    </w:p>
    <w:p w14:paraId="3E6C725A" w14:textId="77777777" w:rsidR="00191BC1" w:rsidRPr="00BC5A29" w:rsidRDefault="00F33836">
      <w:pPr>
        <w:spacing w:after="0" w:line="240" w:lineRule="auto"/>
        <w:jc w:val="both"/>
        <w:rPr>
          <w:rFonts w:ascii="Times New Roman" w:hAnsi="Times New Roman"/>
          <w:color w:val="000000" w:themeColor="text1"/>
        </w:rPr>
      </w:pPr>
      <w:r w:rsidRPr="00BC5A29">
        <w:rPr>
          <w:rFonts w:ascii="Times New Roman" w:hAnsi="Times New Roman"/>
          <w:color w:val="000000" w:themeColor="text1"/>
        </w:rPr>
        <w:t xml:space="preserve">Vastavate maksumääradega arvestatud ligikaudne maamaks on näha alltoodud joonisel. Arvutus on teostatud riigi poolt kohalikele omavalitsustele koostatud 2027 aasta maamaksu kalkulaatoriga. Arvutustest ei ole eemaldatud alla 5 </w:t>
      </w:r>
      <w:proofErr w:type="spellStart"/>
      <w:r w:rsidRPr="00BC5A29">
        <w:rPr>
          <w:rFonts w:ascii="Times New Roman" w:hAnsi="Times New Roman"/>
          <w:color w:val="000000" w:themeColor="text1"/>
        </w:rPr>
        <w:t>euroseid</w:t>
      </w:r>
      <w:proofErr w:type="spellEnd"/>
      <w:r w:rsidRPr="00BC5A29">
        <w:rPr>
          <w:rFonts w:ascii="Times New Roman" w:hAnsi="Times New Roman"/>
          <w:color w:val="000000" w:themeColor="text1"/>
        </w:rPr>
        <w:t xml:space="preserve"> maksuteateid.</w:t>
      </w:r>
    </w:p>
    <w:p w14:paraId="616BB8E4" w14:textId="77777777" w:rsidR="00191BC1" w:rsidRPr="00BC5A29" w:rsidRDefault="00191BC1">
      <w:pPr>
        <w:spacing w:after="0" w:line="240" w:lineRule="auto"/>
        <w:jc w:val="both"/>
        <w:rPr>
          <w:rFonts w:ascii="Times New Roman" w:hAnsi="Times New Roman"/>
          <w:color w:val="000000" w:themeColor="text1"/>
        </w:rPr>
      </w:pPr>
    </w:p>
    <w:p w14:paraId="7CA0E6A1" w14:textId="77777777" w:rsidR="00191BC1" w:rsidRPr="00BC5A29" w:rsidRDefault="00191BC1">
      <w:pPr>
        <w:spacing w:after="0" w:line="240" w:lineRule="auto"/>
        <w:jc w:val="both"/>
        <w:rPr>
          <w:rFonts w:ascii="Times New Roman" w:hAnsi="Times New Roman"/>
          <w:color w:val="000000" w:themeColor="text1"/>
        </w:rPr>
      </w:pPr>
    </w:p>
    <w:p w14:paraId="43BCAC98" w14:textId="77777777" w:rsidR="00191BC1" w:rsidRPr="00BC5A29" w:rsidRDefault="00F33836">
      <w:pPr>
        <w:spacing w:after="0" w:line="240" w:lineRule="auto"/>
        <w:jc w:val="both"/>
        <w:rPr>
          <w:rFonts w:ascii="Times New Roman" w:hAnsi="Times New Roman"/>
          <w:color w:val="000000" w:themeColor="text1"/>
        </w:rPr>
      </w:pPr>
      <w:r w:rsidRPr="00BC5A29">
        <w:rPr>
          <w:rFonts w:ascii="Times New Roman" w:hAnsi="Times New Roman"/>
          <w:noProof/>
          <w:color w:val="000000" w:themeColor="text1"/>
        </w:rPr>
        <w:drawing>
          <wp:inline distT="0" distB="0" distL="0" distR="0" wp14:anchorId="383611AB" wp14:editId="0D50ADC8">
            <wp:extent cx="5760720" cy="3223260"/>
            <wp:effectExtent l="0" t="0" r="0" b="0"/>
            <wp:docPr id="1456673745"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60720" cy="3223260"/>
                    </a:xfrm>
                    <a:prstGeom prst="rect">
                      <a:avLst/>
                    </a:prstGeom>
                    <a:noFill/>
                    <a:ln>
                      <a:noFill/>
                      <a:prstDash/>
                    </a:ln>
                  </pic:spPr>
                </pic:pic>
              </a:graphicData>
            </a:graphic>
          </wp:inline>
        </w:drawing>
      </w:r>
    </w:p>
    <w:sectPr w:rsidR="00191BC1" w:rsidRPr="00BC5A29">
      <w:pgSz w:w="11906" w:h="16838"/>
      <w:pgMar w:top="993"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DC80E" w14:textId="77777777" w:rsidR="000928B1" w:rsidRDefault="000928B1">
      <w:pPr>
        <w:spacing w:after="0" w:line="240" w:lineRule="auto"/>
      </w:pPr>
      <w:r>
        <w:separator/>
      </w:r>
    </w:p>
  </w:endnote>
  <w:endnote w:type="continuationSeparator" w:id="0">
    <w:p w14:paraId="44BEB7CA" w14:textId="77777777" w:rsidR="000928B1" w:rsidRDefault="0009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27EB3" w14:textId="77777777" w:rsidR="000928B1" w:rsidRDefault="000928B1">
      <w:pPr>
        <w:spacing w:after="0" w:line="240" w:lineRule="auto"/>
      </w:pPr>
      <w:r>
        <w:rPr>
          <w:color w:val="000000"/>
        </w:rPr>
        <w:separator/>
      </w:r>
    </w:p>
  </w:footnote>
  <w:footnote w:type="continuationSeparator" w:id="0">
    <w:p w14:paraId="7A3A18BE" w14:textId="77777777" w:rsidR="000928B1" w:rsidRDefault="000928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BC1"/>
    <w:rsid w:val="000765FD"/>
    <w:rsid w:val="000928B1"/>
    <w:rsid w:val="00094BC0"/>
    <w:rsid w:val="00191BC1"/>
    <w:rsid w:val="002C5758"/>
    <w:rsid w:val="002E1DF2"/>
    <w:rsid w:val="002F1857"/>
    <w:rsid w:val="003E365B"/>
    <w:rsid w:val="003E4FD1"/>
    <w:rsid w:val="00590BFE"/>
    <w:rsid w:val="006305D8"/>
    <w:rsid w:val="0063632C"/>
    <w:rsid w:val="00650929"/>
    <w:rsid w:val="00754F36"/>
    <w:rsid w:val="0082202B"/>
    <w:rsid w:val="009D76EB"/>
    <w:rsid w:val="00B36C5B"/>
    <w:rsid w:val="00B72250"/>
    <w:rsid w:val="00BC5A29"/>
    <w:rsid w:val="00C66D79"/>
    <w:rsid w:val="00CC779D"/>
    <w:rsid w:val="00CE7641"/>
    <w:rsid w:val="00D53F8A"/>
    <w:rsid w:val="00E505AC"/>
    <w:rsid w:val="00F24F53"/>
    <w:rsid w:val="00F33836"/>
    <w:rsid w:val="00FF6E4B"/>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9C682"/>
  <w15:docId w15:val="{B48B3EAC-233E-4131-9058-2CDB3D100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t-EE"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pPr>
      <w:suppressAutoHyphens/>
    </w:pPr>
  </w:style>
  <w:style w:type="paragraph" w:styleId="Pealkiri1">
    <w:name w:val="heading 1"/>
    <w:basedOn w:val="Normaallaad"/>
    <w:next w:val="Normaallaad"/>
    <w:uiPriority w:val="9"/>
    <w:qFormat/>
    <w:pPr>
      <w:keepNext/>
      <w:keepLines/>
      <w:spacing w:before="360" w:after="80"/>
      <w:outlineLvl w:val="0"/>
    </w:pPr>
    <w:rPr>
      <w:rFonts w:ascii="Aptos Display" w:eastAsia="Times New Roman" w:hAnsi="Aptos Display"/>
      <w:color w:val="0F4761"/>
      <w:sz w:val="40"/>
      <w:szCs w:val="40"/>
    </w:rPr>
  </w:style>
  <w:style w:type="paragraph" w:styleId="Pealkiri2">
    <w:name w:val="heading 2"/>
    <w:basedOn w:val="Normaallaad"/>
    <w:next w:val="Normaallaad"/>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Pealkiri3">
    <w:name w:val="heading 3"/>
    <w:basedOn w:val="Normaallaad"/>
    <w:next w:val="Normaallaad"/>
    <w:uiPriority w:val="9"/>
    <w:semiHidden/>
    <w:unhideWhenUsed/>
    <w:qFormat/>
    <w:pPr>
      <w:keepNext/>
      <w:keepLines/>
      <w:spacing w:before="160" w:after="80"/>
      <w:outlineLvl w:val="2"/>
    </w:pPr>
    <w:rPr>
      <w:rFonts w:eastAsia="Times New Roman"/>
      <w:color w:val="0F4761"/>
      <w:sz w:val="28"/>
      <w:szCs w:val="28"/>
    </w:rPr>
  </w:style>
  <w:style w:type="paragraph" w:styleId="Pealkiri4">
    <w:name w:val="heading 4"/>
    <w:basedOn w:val="Normaallaad"/>
    <w:next w:val="Normaallaad"/>
    <w:uiPriority w:val="9"/>
    <w:semiHidden/>
    <w:unhideWhenUsed/>
    <w:qFormat/>
    <w:pPr>
      <w:keepNext/>
      <w:keepLines/>
      <w:spacing w:before="80" w:after="40"/>
      <w:outlineLvl w:val="3"/>
    </w:pPr>
    <w:rPr>
      <w:rFonts w:eastAsia="Times New Roman"/>
      <w:i/>
      <w:iCs/>
      <w:color w:val="0F4761"/>
    </w:rPr>
  </w:style>
  <w:style w:type="paragraph" w:styleId="Pealkiri5">
    <w:name w:val="heading 5"/>
    <w:basedOn w:val="Normaallaad"/>
    <w:next w:val="Normaallaad"/>
    <w:uiPriority w:val="9"/>
    <w:semiHidden/>
    <w:unhideWhenUsed/>
    <w:qFormat/>
    <w:pPr>
      <w:keepNext/>
      <w:keepLines/>
      <w:spacing w:before="80" w:after="40"/>
      <w:outlineLvl w:val="4"/>
    </w:pPr>
    <w:rPr>
      <w:rFonts w:eastAsia="Times New Roman"/>
      <w:color w:val="0F4761"/>
    </w:rPr>
  </w:style>
  <w:style w:type="paragraph" w:styleId="Pealkiri6">
    <w:name w:val="heading 6"/>
    <w:basedOn w:val="Normaallaad"/>
    <w:next w:val="Normaallaad"/>
    <w:uiPriority w:val="9"/>
    <w:semiHidden/>
    <w:unhideWhenUsed/>
    <w:qFormat/>
    <w:pPr>
      <w:keepNext/>
      <w:keepLines/>
      <w:spacing w:before="40" w:after="0"/>
      <w:outlineLvl w:val="5"/>
    </w:pPr>
    <w:rPr>
      <w:rFonts w:eastAsia="Times New Roman"/>
      <w:i/>
      <w:iCs/>
      <w:color w:val="595959"/>
    </w:rPr>
  </w:style>
  <w:style w:type="paragraph" w:styleId="Pealkiri7">
    <w:name w:val="heading 7"/>
    <w:basedOn w:val="Normaallaad"/>
    <w:next w:val="Normaallaad"/>
    <w:pPr>
      <w:keepNext/>
      <w:keepLines/>
      <w:spacing w:before="40" w:after="0"/>
      <w:outlineLvl w:val="6"/>
    </w:pPr>
    <w:rPr>
      <w:rFonts w:eastAsia="Times New Roman"/>
      <w:color w:val="595959"/>
    </w:rPr>
  </w:style>
  <w:style w:type="paragraph" w:styleId="Pealkiri8">
    <w:name w:val="heading 8"/>
    <w:basedOn w:val="Normaallaad"/>
    <w:next w:val="Normaallaad"/>
    <w:pPr>
      <w:keepNext/>
      <w:keepLines/>
      <w:spacing w:after="0"/>
      <w:outlineLvl w:val="7"/>
    </w:pPr>
    <w:rPr>
      <w:rFonts w:eastAsia="Times New Roman"/>
      <w:i/>
      <w:iCs/>
      <w:color w:val="272727"/>
    </w:rPr>
  </w:style>
  <w:style w:type="paragraph" w:styleId="Pealkiri9">
    <w:name w:val="heading 9"/>
    <w:basedOn w:val="Normaallaad"/>
    <w:next w:val="Normaallaad"/>
    <w:pPr>
      <w:keepNext/>
      <w:keepLines/>
      <w:spacing w:after="0"/>
      <w:outlineLvl w:val="8"/>
    </w:pPr>
    <w:rPr>
      <w:rFonts w:eastAsia="Times New Roman"/>
      <w:color w:val="272727"/>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Heading1Char">
    <w:name w:val="Heading 1 Char"/>
    <w:basedOn w:val="Liguvaikefont"/>
    <w:rPr>
      <w:rFonts w:ascii="Aptos Display" w:eastAsia="Times New Roman" w:hAnsi="Aptos Display" w:cs="Times New Roman"/>
      <w:color w:val="0F4761"/>
      <w:sz w:val="40"/>
      <w:szCs w:val="40"/>
    </w:rPr>
  </w:style>
  <w:style w:type="character" w:customStyle="1" w:styleId="Heading2Char">
    <w:name w:val="Heading 2 Char"/>
    <w:basedOn w:val="Liguvaikefont"/>
    <w:rPr>
      <w:rFonts w:ascii="Aptos Display" w:eastAsia="Times New Roman" w:hAnsi="Aptos Display" w:cs="Times New Roman"/>
      <w:color w:val="0F4761"/>
      <w:sz w:val="32"/>
      <w:szCs w:val="32"/>
    </w:rPr>
  </w:style>
  <w:style w:type="character" w:customStyle="1" w:styleId="Heading3Char">
    <w:name w:val="Heading 3 Char"/>
    <w:basedOn w:val="Liguvaikefont"/>
    <w:rPr>
      <w:rFonts w:eastAsia="Times New Roman" w:cs="Times New Roman"/>
      <w:color w:val="0F4761"/>
      <w:sz w:val="28"/>
      <w:szCs w:val="28"/>
    </w:rPr>
  </w:style>
  <w:style w:type="character" w:customStyle="1" w:styleId="Heading4Char">
    <w:name w:val="Heading 4 Char"/>
    <w:basedOn w:val="Liguvaikefont"/>
    <w:rPr>
      <w:rFonts w:eastAsia="Times New Roman" w:cs="Times New Roman"/>
      <w:i/>
      <w:iCs/>
      <w:color w:val="0F4761"/>
    </w:rPr>
  </w:style>
  <w:style w:type="character" w:customStyle="1" w:styleId="Heading5Char">
    <w:name w:val="Heading 5 Char"/>
    <w:basedOn w:val="Liguvaikefont"/>
    <w:rPr>
      <w:rFonts w:eastAsia="Times New Roman" w:cs="Times New Roman"/>
      <w:color w:val="0F4761"/>
    </w:rPr>
  </w:style>
  <w:style w:type="character" w:customStyle="1" w:styleId="Heading6Char">
    <w:name w:val="Heading 6 Char"/>
    <w:basedOn w:val="Liguvaikefont"/>
    <w:rPr>
      <w:rFonts w:eastAsia="Times New Roman" w:cs="Times New Roman"/>
      <w:i/>
      <w:iCs/>
      <w:color w:val="595959"/>
    </w:rPr>
  </w:style>
  <w:style w:type="character" w:customStyle="1" w:styleId="Heading7Char">
    <w:name w:val="Heading 7 Char"/>
    <w:basedOn w:val="Liguvaikefont"/>
    <w:rPr>
      <w:rFonts w:eastAsia="Times New Roman" w:cs="Times New Roman"/>
      <w:color w:val="595959"/>
    </w:rPr>
  </w:style>
  <w:style w:type="character" w:customStyle="1" w:styleId="Heading8Char">
    <w:name w:val="Heading 8 Char"/>
    <w:basedOn w:val="Liguvaikefont"/>
    <w:rPr>
      <w:rFonts w:eastAsia="Times New Roman" w:cs="Times New Roman"/>
      <w:i/>
      <w:iCs/>
      <w:color w:val="272727"/>
    </w:rPr>
  </w:style>
  <w:style w:type="character" w:customStyle="1" w:styleId="Heading9Char">
    <w:name w:val="Heading 9 Char"/>
    <w:basedOn w:val="Liguvaikefont"/>
    <w:rPr>
      <w:rFonts w:eastAsia="Times New Roman" w:cs="Times New Roman"/>
      <w:color w:val="272727"/>
    </w:rPr>
  </w:style>
  <w:style w:type="paragraph" w:styleId="Pealkiri">
    <w:name w:val="Title"/>
    <w:basedOn w:val="Normaallaad"/>
    <w:next w:val="Normaallaad"/>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Liguvaikefont"/>
    <w:rPr>
      <w:rFonts w:ascii="Aptos Display" w:eastAsia="Times New Roman" w:hAnsi="Aptos Display" w:cs="Times New Roman"/>
      <w:spacing w:val="-10"/>
      <w:kern w:val="3"/>
      <w:sz w:val="56"/>
      <w:szCs w:val="56"/>
    </w:rPr>
  </w:style>
  <w:style w:type="paragraph" w:styleId="Alapealkiri">
    <w:name w:val="Subtitle"/>
    <w:basedOn w:val="Normaallaad"/>
    <w:next w:val="Normaallaad"/>
    <w:uiPriority w:val="11"/>
    <w:qFormat/>
    <w:rPr>
      <w:rFonts w:eastAsia="Times New Roman"/>
      <w:color w:val="595959"/>
      <w:spacing w:val="15"/>
      <w:sz w:val="28"/>
      <w:szCs w:val="28"/>
    </w:rPr>
  </w:style>
  <w:style w:type="character" w:customStyle="1" w:styleId="SubtitleChar">
    <w:name w:val="Subtitle Char"/>
    <w:basedOn w:val="Liguvaikefont"/>
    <w:rPr>
      <w:rFonts w:eastAsia="Times New Roman" w:cs="Times New Roman"/>
      <w:color w:val="595959"/>
      <w:spacing w:val="15"/>
      <w:sz w:val="28"/>
      <w:szCs w:val="28"/>
    </w:rPr>
  </w:style>
  <w:style w:type="paragraph" w:styleId="Tsitaat">
    <w:name w:val="Quote"/>
    <w:basedOn w:val="Normaallaad"/>
    <w:next w:val="Normaallaad"/>
    <w:pPr>
      <w:spacing w:before="160"/>
      <w:jc w:val="center"/>
    </w:pPr>
    <w:rPr>
      <w:i/>
      <w:iCs/>
      <w:color w:val="404040"/>
    </w:rPr>
  </w:style>
  <w:style w:type="character" w:customStyle="1" w:styleId="QuoteChar">
    <w:name w:val="Quote Char"/>
    <w:basedOn w:val="Liguvaikefont"/>
    <w:rPr>
      <w:i/>
      <w:iCs/>
      <w:color w:val="404040"/>
    </w:rPr>
  </w:style>
  <w:style w:type="paragraph" w:styleId="Loendilik">
    <w:name w:val="List Paragraph"/>
    <w:basedOn w:val="Normaallaad"/>
    <w:pPr>
      <w:ind w:left="720"/>
    </w:pPr>
  </w:style>
  <w:style w:type="character" w:styleId="Selgeltmrgatavrhutus">
    <w:name w:val="Intense Emphasis"/>
    <w:basedOn w:val="Liguvaikefont"/>
    <w:rPr>
      <w:i/>
      <w:iCs/>
      <w:color w:val="0F4761"/>
    </w:rPr>
  </w:style>
  <w:style w:type="paragraph" w:styleId="Selgeltmrgatavtsitaat">
    <w:name w:val="Intense Quote"/>
    <w:basedOn w:val="Normaallaad"/>
    <w:next w:val="Normaallaad"/>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Liguvaikefont"/>
    <w:rPr>
      <w:i/>
      <w:iCs/>
      <w:color w:val="0F4761"/>
    </w:rPr>
  </w:style>
  <w:style w:type="character" w:styleId="Selgeltmrgatavviide">
    <w:name w:val="Intense Reference"/>
    <w:basedOn w:val="Liguvaikefont"/>
    <w:rPr>
      <w:b/>
      <w:bCs/>
      <w:smallCaps/>
      <w:color w:val="0F4761"/>
      <w:spacing w:val="5"/>
    </w:rPr>
  </w:style>
  <w:style w:type="character" w:styleId="Kommentaariviide">
    <w:name w:val="annotation reference"/>
    <w:basedOn w:val="Liguvaikefont"/>
    <w:uiPriority w:val="99"/>
    <w:semiHidden/>
    <w:unhideWhenUsed/>
    <w:rsid w:val="00B36C5B"/>
    <w:rPr>
      <w:sz w:val="16"/>
      <w:szCs w:val="16"/>
    </w:rPr>
  </w:style>
  <w:style w:type="paragraph" w:styleId="Kommentaaritekst">
    <w:name w:val="annotation text"/>
    <w:basedOn w:val="Normaallaad"/>
    <w:link w:val="KommentaaritekstMrk"/>
    <w:uiPriority w:val="99"/>
    <w:unhideWhenUsed/>
    <w:rsid w:val="00B36C5B"/>
    <w:pPr>
      <w:spacing w:line="240" w:lineRule="auto"/>
    </w:pPr>
    <w:rPr>
      <w:sz w:val="20"/>
      <w:szCs w:val="20"/>
    </w:rPr>
  </w:style>
  <w:style w:type="character" w:customStyle="1" w:styleId="KommentaaritekstMrk">
    <w:name w:val="Kommentaari tekst Märk"/>
    <w:basedOn w:val="Liguvaikefont"/>
    <w:link w:val="Kommentaaritekst"/>
    <w:uiPriority w:val="99"/>
    <w:rsid w:val="00B36C5B"/>
    <w:rPr>
      <w:sz w:val="20"/>
      <w:szCs w:val="20"/>
    </w:rPr>
  </w:style>
  <w:style w:type="paragraph" w:styleId="Kommentaariteema">
    <w:name w:val="annotation subject"/>
    <w:basedOn w:val="Kommentaaritekst"/>
    <w:next w:val="Kommentaaritekst"/>
    <w:link w:val="KommentaariteemaMrk"/>
    <w:uiPriority w:val="99"/>
    <w:semiHidden/>
    <w:unhideWhenUsed/>
    <w:rsid w:val="00B36C5B"/>
    <w:rPr>
      <w:b/>
      <w:bCs/>
    </w:rPr>
  </w:style>
  <w:style w:type="character" w:customStyle="1" w:styleId="KommentaariteemaMrk">
    <w:name w:val="Kommentaari teema Märk"/>
    <w:basedOn w:val="KommentaaritekstMrk"/>
    <w:link w:val="Kommentaariteema"/>
    <w:uiPriority w:val="99"/>
    <w:semiHidden/>
    <w:rsid w:val="00B36C5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912</Words>
  <Characters>5294</Characters>
  <Application>Microsoft Office Word</Application>
  <DocSecurity>0</DocSecurity>
  <Lines>44</Lines>
  <Paragraphs>12</Paragraphs>
  <ScaleCrop>false</ScaleCrop>
  <HeadingPairs>
    <vt:vector size="2" baseType="variant">
      <vt:variant>
        <vt:lpstr>Pealkiri</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 Kass</dc:creator>
  <dc:description/>
  <cp:lastModifiedBy>Maili Hirlak</cp:lastModifiedBy>
  <cp:revision>2</cp:revision>
  <dcterms:created xsi:type="dcterms:W3CDTF">2026-08-26T13:22:00Z</dcterms:created>
  <dcterms:modified xsi:type="dcterms:W3CDTF">2026-08-26T13:22:00Z</dcterms:modified>
</cp:coreProperties>
</file>